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D189" w14:textId="76407D76" w:rsidR="003D16DF" w:rsidRDefault="00A4657C">
      <w:r w:rsidRPr="003D16DF">
        <w:rPr>
          <w:b/>
          <w:noProof/>
        </w:rPr>
        <w:drawing>
          <wp:anchor distT="0" distB="0" distL="114300" distR="114300" simplePos="0" relativeHeight="251658240" behindDoc="1" locked="0" layoutInCell="1" allowOverlap="1" wp14:anchorId="231A03FE" wp14:editId="6C2076F1">
            <wp:simplePos x="0" y="0"/>
            <wp:positionH relativeFrom="column">
              <wp:posOffset>1755333</wp:posOffset>
            </wp:positionH>
            <wp:positionV relativeFrom="paragraph">
              <wp:posOffset>-528955</wp:posOffset>
            </wp:positionV>
            <wp:extent cx="1955800" cy="527050"/>
            <wp:effectExtent l="0" t="0" r="6350" b="6350"/>
            <wp:wrapNone/>
            <wp:docPr id="1571642326"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642326" name="Image 2" descr="Une image contenant texte, Police, logo, Graphique&#10;&#10;Le contenu généré par l’IA peut être incorrect."/>
                    <pic:cNvPicPr>
                      <a:picLocks noChangeAspect="1" noChangeArrowheads="1"/>
                    </pic:cNvPicPr>
                  </pic:nvPicPr>
                  <pic:blipFill>
                    <a:blip r:embed="rId11">
                      <a:alphaModFix/>
                      <a:extLst>
                        <a:ext uri="{28A0092B-C50C-407E-A947-70E740481C1C}">
                          <a14:useLocalDpi xmlns:a14="http://schemas.microsoft.com/office/drawing/2010/main" val="0"/>
                        </a:ext>
                      </a:extLst>
                    </a:blip>
                    <a:srcRect/>
                    <a:stretch>
                      <a:fillRect/>
                    </a:stretch>
                  </pic:blipFill>
                  <pic:spPr bwMode="auto">
                    <a:xfrm>
                      <a:off x="0" y="0"/>
                      <a:ext cx="1955800" cy="527050"/>
                    </a:xfrm>
                    <a:prstGeom prst="rect">
                      <a:avLst/>
                    </a:prstGeom>
                    <a:noFill/>
                    <a:ln>
                      <a:noFill/>
                    </a:ln>
                  </pic:spPr>
                </pic:pic>
              </a:graphicData>
            </a:graphic>
          </wp:anchor>
        </w:drawing>
      </w:r>
    </w:p>
    <w:p w14:paraId="4450A3FF" w14:textId="1021B1FA" w:rsidR="0039452F" w:rsidRDefault="0039452F" w:rsidP="005F2F34">
      <w:pPr>
        <w:pBdr>
          <w:top w:val="single" w:sz="4" w:space="1" w:color="auto"/>
          <w:left w:val="single" w:sz="4" w:space="4" w:color="auto"/>
          <w:bottom w:val="single" w:sz="4" w:space="1" w:color="auto"/>
          <w:right w:val="single" w:sz="4" w:space="4" w:color="auto"/>
        </w:pBdr>
        <w:jc w:val="center"/>
        <w:rPr>
          <w:b/>
          <w:bCs/>
        </w:rPr>
      </w:pPr>
      <w:r>
        <w:rPr>
          <w:b/>
          <w:bCs/>
        </w:rPr>
        <w:t>Région Île-de-France</w:t>
      </w:r>
    </w:p>
    <w:p w14:paraId="3B00FA96" w14:textId="77777777" w:rsidR="0039452F" w:rsidRDefault="0039452F" w:rsidP="005F2F34">
      <w:pPr>
        <w:pBdr>
          <w:top w:val="single" w:sz="4" w:space="1" w:color="auto"/>
          <w:left w:val="single" w:sz="4" w:space="4" w:color="auto"/>
          <w:bottom w:val="single" w:sz="4" w:space="1" w:color="auto"/>
          <w:right w:val="single" w:sz="4" w:space="4" w:color="auto"/>
        </w:pBdr>
        <w:jc w:val="center"/>
        <w:rPr>
          <w:b/>
          <w:bCs/>
        </w:rPr>
      </w:pPr>
    </w:p>
    <w:p w14:paraId="185645E3" w14:textId="1D5FFE24" w:rsidR="003D16DF" w:rsidRDefault="003D16DF" w:rsidP="005F2F34">
      <w:pPr>
        <w:pBdr>
          <w:top w:val="single" w:sz="4" w:space="1" w:color="auto"/>
          <w:left w:val="single" w:sz="4" w:space="4" w:color="auto"/>
          <w:bottom w:val="single" w:sz="4" w:space="1" w:color="auto"/>
          <w:right w:val="single" w:sz="4" w:space="4" w:color="auto"/>
        </w:pBdr>
        <w:jc w:val="center"/>
        <w:rPr>
          <w:b/>
          <w:bCs/>
        </w:rPr>
      </w:pPr>
      <w:r w:rsidRPr="003D16DF">
        <w:rPr>
          <w:b/>
          <w:bCs/>
        </w:rPr>
        <w:t>Appel à projet</w:t>
      </w:r>
      <w:r w:rsidR="0039452F">
        <w:rPr>
          <w:b/>
          <w:bCs/>
        </w:rPr>
        <w:t>s</w:t>
      </w:r>
      <w:r w:rsidRPr="003D16DF">
        <w:rPr>
          <w:b/>
          <w:bCs/>
        </w:rPr>
        <w:t xml:space="preserve"> collaboratif</w:t>
      </w:r>
      <w:r w:rsidR="00D771CE">
        <w:rPr>
          <w:b/>
          <w:bCs/>
        </w:rPr>
        <w:t>s</w:t>
      </w:r>
      <w:r w:rsidRPr="003D16DF">
        <w:rPr>
          <w:b/>
          <w:bCs/>
        </w:rPr>
        <w:t xml:space="preserve"> </w:t>
      </w:r>
      <w:r w:rsidR="00E2068E">
        <w:rPr>
          <w:b/>
          <w:bCs/>
        </w:rPr>
        <w:t>Innovation de Rupture et Résilience Industrielle</w:t>
      </w:r>
      <w:r>
        <w:rPr>
          <w:b/>
          <w:bCs/>
        </w:rPr>
        <w:t xml:space="preserve"> </w:t>
      </w:r>
    </w:p>
    <w:p w14:paraId="6F54FE4C" w14:textId="77777777" w:rsidR="003D16DF" w:rsidRDefault="003D16DF" w:rsidP="005F2F34">
      <w:pPr>
        <w:pBdr>
          <w:top w:val="single" w:sz="4" w:space="1" w:color="auto"/>
          <w:left w:val="single" w:sz="4" w:space="4" w:color="auto"/>
          <w:bottom w:val="single" w:sz="4" w:space="1" w:color="auto"/>
          <w:right w:val="single" w:sz="4" w:space="4" w:color="auto"/>
        </w:pBdr>
        <w:jc w:val="center"/>
        <w:rPr>
          <w:b/>
          <w:bCs/>
        </w:rPr>
      </w:pPr>
    </w:p>
    <w:p w14:paraId="672D3C02" w14:textId="7CCF7BDF" w:rsidR="003D16DF" w:rsidRPr="003D16DF" w:rsidRDefault="003D16DF" w:rsidP="005F2F34">
      <w:pPr>
        <w:pBdr>
          <w:top w:val="single" w:sz="4" w:space="1" w:color="auto"/>
          <w:left w:val="single" w:sz="4" w:space="4" w:color="auto"/>
          <w:bottom w:val="single" w:sz="4" w:space="1" w:color="auto"/>
          <w:right w:val="single" w:sz="4" w:space="4" w:color="auto"/>
        </w:pBdr>
        <w:jc w:val="center"/>
      </w:pPr>
      <w:r w:rsidRPr="003D16DF">
        <w:t>Région Île-de-France</w:t>
      </w:r>
    </w:p>
    <w:p w14:paraId="368E883C" w14:textId="77777777" w:rsidR="003D16DF" w:rsidRDefault="003D16DF" w:rsidP="003D16DF"/>
    <w:p w14:paraId="3B40B63A" w14:textId="77777777" w:rsidR="003D16DF" w:rsidRPr="005F2F34" w:rsidRDefault="003D16DF" w:rsidP="005F2F34">
      <w:pPr>
        <w:pBdr>
          <w:top w:val="single" w:sz="4" w:space="1" w:color="auto"/>
          <w:left w:val="single" w:sz="4" w:space="4" w:color="auto"/>
          <w:bottom w:val="single" w:sz="4" w:space="1" w:color="auto"/>
          <w:right w:val="single" w:sz="4" w:space="4" w:color="auto"/>
        </w:pBdr>
        <w:jc w:val="center"/>
        <w:rPr>
          <w:b/>
          <w:bCs/>
        </w:rPr>
      </w:pPr>
    </w:p>
    <w:p w14:paraId="39053754" w14:textId="1745034F" w:rsidR="003D16DF" w:rsidRPr="005F2F34" w:rsidRDefault="003D16DF" w:rsidP="005F2F34">
      <w:pPr>
        <w:pBdr>
          <w:top w:val="single" w:sz="4" w:space="1" w:color="auto"/>
          <w:left w:val="single" w:sz="4" w:space="4" w:color="auto"/>
          <w:bottom w:val="single" w:sz="4" w:space="1" w:color="auto"/>
          <w:right w:val="single" w:sz="4" w:space="4" w:color="auto"/>
        </w:pBdr>
        <w:jc w:val="center"/>
        <w:rPr>
          <w:b/>
          <w:bCs/>
        </w:rPr>
      </w:pPr>
      <w:r w:rsidRPr="005F2F34">
        <w:rPr>
          <w:b/>
          <w:bCs/>
        </w:rPr>
        <w:t>L’appel à projets « </w:t>
      </w:r>
      <w:r w:rsidR="00E2068E">
        <w:rPr>
          <w:b/>
          <w:bCs/>
        </w:rPr>
        <w:t xml:space="preserve">Innovation de Rupture et Résilience Industrielle </w:t>
      </w:r>
      <w:r w:rsidRPr="005F2F34">
        <w:rPr>
          <w:b/>
          <w:bCs/>
        </w:rPr>
        <w:t>» est ouvert à partir du 1</w:t>
      </w:r>
      <w:r w:rsidR="003875E4">
        <w:rPr>
          <w:b/>
          <w:bCs/>
        </w:rPr>
        <w:t>8</w:t>
      </w:r>
      <w:r w:rsidRPr="005F2F34">
        <w:rPr>
          <w:b/>
          <w:bCs/>
        </w:rPr>
        <w:t xml:space="preserve"> mai 2026.</w:t>
      </w:r>
    </w:p>
    <w:p w14:paraId="4FBCA760" w14:textId="77777777" w:rsidR="003D16DF" w:rsidRPr="005F2F34" w:rsidRDefault="003D16DF" w:rsidP="005F2F34">
      <w:pPr>
        <w:pBdr>
          <w:top w:val="single" w:sz="4" w:space="1" w:color="auto"/>
          <w:left w:val="single" w:sz="4" w:space="4" w:color="auto"/>
          <w:bottom w:val="single" w:sz="4" w:space="1" w:color="auto"/>
          <w:right w:val="single" w:sz="4" w:space="4" w:color="auto"/>
        </w:pBdr>
        <w:jc w:val="center"/>
        <w:rPr>
          <w:b/>
          <w:bCs/>
        </w:rPr>
      </w:pPr>
    </w:p>
    <w:p w14:paraId="78FAB930" w14:textId="03BEC017" w:rsidR="003D16DF" w:rsidRPr="005F2F34" w:rsidRDefault="003D16DF" w:rsidP="005F2F34">
      <w:pPr>
        <w:pBdr>
          <w:top w:val="single" w:sz="4" w:space="1" w:color="auto"/>
          <w:left w:val="single" w:sz="4" w:space="4" w:color="auto"/>
          <w:bottom w:val="single" w:sz="4" w:space="1" w:color="auto"/>
          <w:right w:val="single" w:sz="4" w:space="4" w:color="auto"/>
        </w:pBdr>
        <w:jc w:val="center"/>
        <w:rPr>
          <w:b/>
          <w:bCs/>
        </w:rPr>
      </w:pPr>
      <w:r w:rsidRPr="005F2F34">
        <w:rPr>
          <w:b/>
          <w:bCs/>
        </w:rPr>
        <w:t>Les dossiers de candidatures sont à déposer sur mes démarches</w:t>
      </w:r>
      <w:r w:rsidR="005F2F34">
        <w:rPr>
          <w:b/>
          <w:bCs/>
        </w:rPr>
        <w:t xml:space="preserve"> jusqu’au 31 </w:t>
      </w:r>
      <w:r w:rsidR="0039452F">
        <w:rPr>
          <w:b/>
          <w:bCs/>
        </w:rPr>
        <w:t>août</w:t>
      </w:r>
      <w:r w:rsidRPr="005F2F34">
        <w:rPr>
          <w:b/>
          <w:bCs/>
        </w:rPr>
        <w:t>.</w:t>
      </w:r>
    </w:p>
    <w:p w14:paraId="292CD38C" w14:textId="77777777" w:rsidR="003D16DF" w:rsidRPr="005F2F34" w:rsidRDefault="003D16DF" w:rsidP="005F2F34">
      <w:pPr>
        <w:pBdr>
          <w:top w:val="single" w:sz="4" w:space="1" w:color="auto"/>
          <w:left w:val="single" w:sz="4" w:space="4" w:color="auto"/>
          <w:bottom w:val="single" w:sz="4" w:space="1" w:color="auto"/>
          <w:right w:val="single" w:sz="4" w:space="4" w:color="auto"/>
        </w:pBdr>
        <w:jc w:val="center"/>
        <w:rPr>
          <w:b/>
          <w:bCs/>
        </w:rPr>
      </w:pPr>
    </w:p>
    <w:p w14:paraId="5075C6A7" w14:textId="42C4DAAF" w:rsidR="003D16DF" w:rsidRPr="005F2F34" w:rsidRDefault="0534922B" w:rsidP="13F52FA1">
      <w:pPr>
        <w:pBdr>
          <w:top w:val="single" w:sz="4" w:space="1" w:color="auto"/>
          <w:left w:val="single" w:sz="4" w:space="4" w:color="auto"/>
          <w:bottom w:val="single" w:sz="4" w:space="1" w:color="auto"/>
          <w:right w:val="single" w:sz="4" w:space="4" w:color="auto"/>
        </w:pBdr>
        <w:jc w:val="center"/>
        <w:rPr>
          <w:b/>
          <w:bCs/>
        </w:rPr>
      </w:pPr>
      <w:r w:rsidRPr="13F52FA1">
        <w:rPr>
          <w:b/>
          <w:bCs/>
        </w:rPr>
        <w:t xml:space="preserve">Les relèves ont lieu le </w:t>
      </w:r>
      <w:r w:rsidR="65DD766E" w:rsidRPr="13F52FA1">
        <w:rPr>
          <w:b/>
          <w:bCs/>
        </w:rPr>
        <w:t xml:space="preserve">30 </w:t>
      </w:r>
      <w:r w:rsidRPr="13F52FA1">
        <w:rPr>
          <w:b/>
          <w:bCs/>
        </w:rPr>
        <w:t>août 2026.</w:t>
      </w:r>
    </w:p>
    <w:p w14:paraId="222A40E2" w14:textId="73AAA893" w:rsidR="003D16DF" w:rsidRDefault="003D16DF" w:rsidP="003D16DF"/>
    <w:p w14:paraId="2E1611DB" w14:textId="77777777" w:rsidR="003D16DF" w:rsidRDefault="003D16DF" w:rsidP="003D16DF"/>
    <w:p w14:paraId="6715DF58" w14:textId="77777777" w:rsidR="003D16DF" w:rsidRDefault="003D16DF" w:rsidP="003D16DF"/>
    <w:p w14:paraId="480E0FA3" w14:textId="678B2644" w:rsidR="003D16DF" w:rsidRDefault="003D16DF" w:rsidP="003D16DF">
      <w:pPr>
        <w:pStyle w:val="Paragraphedeliste"/>
        <w:numPr>
          <w:ilvl w:val="0"/>
          <w:numId w:val="2"/>
        </w:numPr>
      </w:pPr>
      <w:r>
        <w:t xml:space="preserve">Contexte et objectifs de l’appel à projets </w:t>
      </w:r>
    </w:p>
    <w:p w14:paraId="2C722A3E" w14:textId="77777777" w:rsidR="00CA1658" w:rsidRDefault="00CA1658" w:rsidP="003D16DF"/>
    <w:p w14:paraId="717BCFA8" w14:textId="77777777" w:rsidR="00B34D6F" w:rsidRPr="00B34D6F" w:rsidRDefault="00B34D6F" w:rsidP="004417B1">
      <w:pPr>
        <w:jc w:val="both"/>
      </w:pPr>
      <w:r w:rsidRPr="00B34D6F">
        <w:t>L'Île-de-France occupe une position de premier plan en matière d'innovation et d'excellence scientifique. Elle concentre la majorité des startups innovantes du pays, ainsi que des universités et des laboratoires de recherche dont le rayonnement dépasse largement nos frontières.</w:t>
      </w:r>
    </w:p>
    <w:p w14:paraId="51807447" w14:textId="77777777" w:rsidR="00B34D6F" w:rsidRDefault="00B34D6F" w:rsidP="004417B1">
      <w:pPr>
        <w:jc w:val="both"/>
      </w:pPr>
    </w:p>
    <w:p w14:paraId="35DA55BF" w14:textId="7F3127D0" w:rsidR="00B34D6F" w:rsidRPr="00B34D6F" w:rsidRDefault="00B34D6F" w:rsidP="004417B1">
      <w:pPr>
        <w:jc w:val="both"/>
      </w:pPr>
      <w:r>
        <w:t xml:space="preserve">Cette dynamique est </w:t>
      </w:r>
      <w:r w:rsidR="009758D7">
        <w:t xml:space="preserve">notamment </w:t>
      </w:r>
      <w:r>
        <w:t>le fruit d'une politique régionale volontariste, engagée depuis plusieurs années en faveur des innovations de rupture dans les filières prioritaires d'IMPACT 2028 : quantique, intelligence artificielle, défense, aérospatiale, semi-conducteurs, automobile et technologies vertes.</w:t>
      </w:r>
    </w:p>
    <w:p w14:paraId="434FFA45" w14:textId="77777777" w:rsidR="00B34D6F" w:rsidRDefault="00B34D6F" w:rsidP="004417B1">
      <w:pPr>
        <w:jc w:val="both"/>
      </w:pPr>
    </w:p>
    <w:p w14:paraId="141841A7" w14:textId="52F6EF68" w:rsidR="00B34D6F" w:rsidRPr="00B34D6F" w:rsidRDefault="00B34D6F" w:rsidP="004417B1">
      <w:pPr>
        <w:jc w:val="both"/>
      </w:pPr>
      <w:r>
        <w:t>Mais la compétition internationale s'intensifie</w:t>
      </w:r>
      <w:r w:rsidR="00FD4A11">
        <w:t>, tandis que</w:t>
      </w:r>
      <w:r w:rsidR="007469FF">
        <w:t xml:space="preserve"> l’environnement </w:t>
      </w:r>
      <w:r w:rsidR="00E301B4">
        <w:t xml:space="preserve">semble </w:t>
      </w:r>
      <w:r w:rsidR="001E769A">
        <w:t>durablement instable et incertain</w:t>
      </w:r>
      <w:r>
        <w:t>. Maintenir notre avance exige</w:t>
      </w:r>
      <w:r w:rsidR="00DE7A97">
        <w:t xml:space="preserve"> ainsi</w:t>
      </w:r>
      <w:r>
        <w:t xml:space="preserve"> d'anticiper les technologies de demain et de consolider une </w:t>
      </w:r>
      <w:r w:rsidR="00D86B7D">
        <w:t xml:space="preserve">résilience </w:t>
      </w:r>
      <w:r>
        <w:t xml:space="preserve">industrielle et technologique qui ne peut </w:t>
      </w:r>
      <w:r w:rsidR="000E4F5A">
        <w:t xml:space="preserve">se contenter de reposer sur </w:t>
      </w:r>
      <w:r w:rsidR="002E3C43">
        <w:t xml:space="preserve">des dépendances </w:t>
      </w:r>
      <w:r w:rsidR="00424407">
        <w:t>extérieures critiques</w:t>
      </w:r>
      <w:r>
        <w:t>.</w:t>
      </w:r>
    </w:p>
    <w:p w14:paraId="4EF0B82A" w14:textId="77777777" w:rsidR="00B34D6F" w:rsidRDefault="00B34D6F" w:rsidP="004417B1">
      <w:pPr>
        <w:jc w:val="both"/>
      </w:pPr>
    </w:p>
    <w:p w14:paraId="019B5F2A" w14:textId="37903792" w:rsidR="00B34D6F" w:rsidRPr="00B34D6F" w:rsidRDefault="00B34D6F" w:rsidP="004417B1">
      <w:pPr>
        <w:jc w:val="both"/>
      </w:pPr>
      <w:r>
        <w:t>C'est dans cet esprit que la Région Île-de-France lance l'appel à</w:t>
      </w:r>
      <w:r w:rsidR="006303B3">
        <w:t xml:space="preserve"> projets</w:t>
      </w:r>
      <w:r>
        <w:t xml:space="preserve"> </w:t>
      </w:r>
      <w:r w:rsidR="00584296">
        <w:rPr>
          <w:b/>
          <w:bCs/>
        </w:rPr>
        <w:t>Innovation de Rupture et Résilience Industrielle</w:t>
      </w:r>
      <w:r>
        <w:t>. Il vise à renforcer les collaborations entre laboratoires, universités d'excellence et entreprises innovantes du territoire</w:t>
      </w:r>
      <w:r w:rsidR="00E245BC">
        <w:t>,</w:t>
      </w:r>
      <w:r>
        <w:t xml:space="preserve"> PME, startups, ETI et grands groupes</w:t>
      </w:r>
      <w:r w:rsidR="00E245BC">
        <w:t>,</w:t>
      </w:r>
      <w:r>
        <w:t xml:space="preserve"> pour transformer la recherche de pointe en avantages compétitifs concrets, au service du</w:t>
      </w:r>
      <w:r w:rsidR="005F6D1E">
        <w:t xml:space="preserve"> rayonnement</w:t>
      </w:r>
      <w:r w:rsidR="00777B69">
        <w:t xml:space="preserve"> technologique et scienti</w:t>
      </w:r>
      <w:r w:rsidR="000C2A7C">
        <w:t>fi</w:t>
      </w:r>
      <w:r w:rsidR="00777B69">
        <w:t>que</w:t>
      </w:r>
      <w:r>
        <w:t xml:space="preserve"> francilien.</w:t>
      </w:r>
    </w:p>
    <w:p w14:paraId="0680B54E" w14:textId="77777777" w:rsidR="00BC1AA6" w:rsidRDefault="00BC1AA6" w:rsidP="003D16DF"/>
    <w:p w14:paraId="7F56DF8F" w14:textId="77777777" w:rsidR="00726A71" w:rsidRDefault="00726A71" w:rsidP="003D16DF"/>
    <w:p w14:paraId="3E26C8B3" w14:textId="4B450D44" w:rsidR="00BC1AA6" w:rsidRDefault="00BC1AA6" w:rsidP="00BC1AA6">
      <w:pPr>
        <w:pStyle w:val="Paragraphedeliste"/>
        <w:numPr>
          <w:ilvl w:val="0"/>
          <w:numId w:val="2"/>
        </w:numPr>
      </w:pPr>
      <w:r>
        <w:t xml:space="preserve">Nature des projets attendus </w:t>
      </w:r>
    </w:p>
    <w:p w14:paraId="236AED14" w14:textId="77777777" w:rsidR="00BC1AA6" w:rsidRDefault="00BC1AA6" w:rsidP="00BC1AA6"/>
    <w:p w14:paraId="29EB2ECE" w14:textId="4186248C" w:rsidR="00BA789E" w:rsidRDefault="00734D1B" w:rsidP="00E16C3F">
      <w:pPr>
        <w:jc w:val="both"/>
      </w:pPr>
      <w:r w:rsidRPr="00734D1B">
        <w:t xml:space="preserve">Cet appel à projets vise à accompagner des initiatives ambitieuses en matière de développement expérimental et d'innovation industrielle, impliquant des PME, ETI et grandes entreprises en collaboration avec le monde académique. Les projets soutenus auront pour finalité la conception et la commercialisation de produits, services et/ou procédés innovants à forte valeur ajoutée, générateurs de croissance économique et </w:t>
      </w:r>
      <w:r w:rsidRPr="00734D1B">
        <w:lastRenderedPageBreak/>
        <w:t>d'emplois. Ils s'inscriront dans les domaines d'innovation définis ci-après</w:t>
      </w:r>
      <w:r w:rsidR="00161671">
        <w:t xml:space="preserve"> en 2.1.</w:t>
      </w:r>
      <w:r w:rsidRPr="00734D1B">
        <w:t xml:space="preserve"> Les projets visant la transformation ou la diversification de processus industriels existants sont également éligibles.</w:t>
      </w:r>
    </w:p>
    <w:p w14:paraId="10831AD4" w14:textId="77777777" w:rsidR="00615434" w:rsidRDefault="00615434" w:rsidP="00E16C3F">
      <w:pPr>
        <w:jc w:val="both"/>
      </w:pPr>
    </w:p>
    <w:p w14:paraId="145A0395" w14:textId="10A8EF4A" w:rsidR="00B161B0" w:rsidRDefault="00B161B0" w:rsidP="00E16C3F">
      <w:pPr>
        <w:jc w:val="both"/>
      </w:pPr>
      <w:r w:rsidRPr="00B161B0">
        <w:t>Les projets devront respecter l’ensemble des dispositions du régime cadre d’aides d’État à la RDI SA.111723.</w:t>
      </w:r>
      <w:r w:rsidR="00615434">
        <w:t xml:space="preserve"> </w:t>
      </w:r>
    </w:p>
    <w:p w14:paraId="1B3028CF" w14:textId="77777777" w:rsidR="00615434" w:rsidRDefault="00615434" w:rsidP="00E16C3F">
      <w:pPr>
        <w:jc w:val="both"/>
      </w:pPr>
    </w:p>
    <w:p w14:paraId="378A492E" w14:textId="6DE8D32A" w:rsidR="00615434" w:rsidRDefault="461BC71D" w:rsidP="00E16C3F">
      <w:pPr>
        <w:jc w:val="both"/>
      </w:pPr>
      <w:r>
        <w:t>Dans ce cadre, sont attendus des projets d’innovation</w:t>
      </w:r>
      <w:r w:rsidR="6EAC437A">
        <w:t xml:space="preserve"> collaboratifs</w:t>
      </w:r>
      <w:r>
        <w:t xml:space="preserve">, avec un </w:t>
      </w:r>
      <w:r w:rsidR="6EAC437A">
        <w:t xml:space="preserve">degré </w:t>
      </w:r>
      <w:r>
        <w:t>de rupture</w:t>
      </w:r>
      <w:r w:rsidR="6EAC437A">
        <w:t xml:space="preserve"> différenciant qui devront répondre à des problématiques scientifiques, techniques et/ou industrielles. </w:t>
      </w:r>
      <w:r w:rsidR="494849D2">
        <w:t xml:space="preserve">Ils devront également répondre à des enjeux </w:t>
      </w:r>
      <w:r w:rsidR="01377370">
        <w:t xml:space="preserve">économiques, sociaux et environnementaux. </w:t>
      </w:r>
      <w:r w:rsidR="009D21C2">
        <w:rPr>
          <w:rStyle w:val="Appelnotedebasdep"/>
        </w:rPr>
        <w:footnoteReference w:id="1"/>
      </w:r>
    </w:p>
    <w:p w14:paraId="656EC9F0" w14:textId="69C197DE" w:rsidR="3E6246D0" w:rsidRDefault="3E6246D0" w:rsidP="13F52FA1">
      <w:pPr>
        <w:spacing w:before="240" w:after="240"/>
        <w:jc w:val="both"/>
        <w:rPr>
          <w:rFonts w:eastAsia="Arial"/>
        </w:rPr>
      </w:pPr>
      <w:r w:rsidRPr="13F52FA1">
        <w:rPr>
          <w:rFonts w:eastAsia="Arial"/>
        </w:rPr>
        <w:t>Les projets doivent viser la mise au point de solutions innovantes proches du marché, à travers des travaux de prototypage, de tests, de validation ou d’expérimentation en conditions réelles. Ils doivent permettre de transformer des résultats de R&amp;D en produits, services ou procédés opérationnels, avec des perspectives concrètes d’industrialisation ou de mise sur le marché.</w:t>
      </w:r>
    </w:p>
    <w:p w14:paraId="5DCA50EC" w14:textId="186F193E" w:rsidR="47CB03B5" w:rsidRDefault="47CB03B5" w:rsidP="47CB03B5">
      <w:pPr>
        <w:jc w:val="both"/>
      </w:pPr>
    </w:p>
    <w:p w14:paraId="31B92642" w14:textId="0097C285" w:rsidR="002C5C53" w:rsidRDefault="002C5C53" w:rsidP="00E16C3F">
      <w:pPr>
        <w:jc w:val="both"/>
      </w:pPr>
      <w:r>
        <w:t xml:space="preserve">Le formalisme attendu est un dossier de présentation </w:t>
      </w:r>
      <w:r w:rsidR="00200900">
        <w:t>(30 pages maximum en pdf.)</w:t>
      </w:r>
      <w:r w:rsidR="00D27276">
        <w:t xml:space="preserve"> présentant le projet, ses facteurs différenciant, sa maturité technologique</w:t>
      </w:r>
      <w:r w:rsidR="006C685B">
        <w:t>, ses retombées sociales, économiques et scientifiques. Le budget des dépenses sera détaillé par chaque partenaire</w:t>
      </w:r>
      <w:r w:rsidR="00E16099">
        <w:t>. Des instructions approfondies seront organisées pour qualifier la pertinence et la robustesse des différents projets.</w:t>
      </w:r>
    </w:p>
    <w:p w14:paraId="607F728A" w14:textId="77777777" w:rsidR="00B161B0" w:rsidRDefault="00B161B0" w:rsidP="00BC1AA6"/>
    <w:p w14:paraId="7118E59B" w14:textId="77777777" w:rsidR="00B161B0" w:rsidRDefault="00B161B0" w:rsidP="00BC1AA6"/>
    <w:p w14:paraId="3745F77E" w14:textId="15D9E33E" w:rsidR="00BC1AA6" w:rsidRDefault="00BC1AA6" w:rsidP="00BC1AA6">
      <w:pPr>
        <w:pStyle w:val="Paragraphedeliste"/>
        <w:numPr>
          <w:ilvl w:val="1"/>
          <w:numId w:val="2"/>
        </w:numPr>
      </w:pPr>
      <w:r>
        <w:t xml:space="preserve">Filières ciblées </w:t>
      </w:r>
    </w:p>
    <w:p w14:paraId="16561E12" w14:textId="77777777" w:rsidR="00533C00" w:rsidRDefault="00533C00" w:rsidP="00533C00"/>
    <w:p w14:paraId="70582AA2" w14:textId="305C0D6B" w:rsidR="000C099E" w:rsidRDefault="004C2C85" w:rsidP="000C099E">
      <w:r w:rsidRPr="004C2C85">
        <w:t>Les projets devront s’inscrire dans les filières prioritaires régionales, couvrant les domaines stratégiques et technologies suivants</w:t>
      </w:r>
      <w:r>
        <w:t xml:space="preserve"> : </w:t>
      </w:r>
    </w:p>
    <w:p w14:paraId="5CBB81B0" w14:textId="77777777" w:rsidR="004C2C85" w:rsidRDefault="004C2C85" w:rsidP="000C099E"/>
    <w:p w14:paraId="493E4BFB" w14:textId="77777777" w:rsidR="004C2C85" w:rsidRDefault="004C2C85" w:rsidP="000C099E"/>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1"/>
        <w:gridCol w:w="6121"/>
      </w:tblGrid>
      <w:tr w:rsidR="005251F4" w:rsidRPr="003D444F" w14:paraId="0721A03D" w14:textId="77777777" w:rsidTr="13F52FA1">
        <w:trPr>
          <w:tblHeader/>
          <w:tblCellSpacing w:w="15" w:type="dxa"/>
        </w:trPr>
        <w:tc>
          <w:tcPr>
            <w:tcW w:w="0" w:type="auto"/>
            <w:vAlign w:val="center"/>
            <w:hideMark/>
          </w:tcPr>
          <w:p w14:paraId="5010E9B2" w14:textId="021EFB2B" w:rsidR="003D444F" w:rsidRPr="003D444F" w:rsidRDefault="003D444F" w:rsidP="003D444F">
            <w:pPr>
              <w:rPr>
                <w:b/>
                <w:bCs/>
              </w:rPr>
            </w:pPr>
            <w:r w:rsidRPr="003D444F">
              <w:rPr>
                <w:b/>
                <w:bCs/>
              </w:rPr>
              <w:t>Filière</w:t>
            </w:r>
            <w:r w:rsidR="00533C00">
              <w:rPr>
                <w:b/>
                <w:bCs/>
              </w:rPr>
              <w:t xml:space="preserve">s prioritaires </w:t>
            </w:r>
          </w:p>
        </w:tc>
        <w:tc>
          <w:tcPr>
            <w:tcW w:w="0" w:type="auto"/>
            <w:vAlign w:val="center"/>
            <w:hideMark/>
          </w:tcPr>
          <w:p w14:paraId="33E22E94" w14:textId="0C576EE6" w:rsidR="003D444F" w:rsidRPr="003D444F" w:rsidRDefault="0040612E" w:rsidP="003D444F">
            <w:pPr>
              <w:rPr>
                <w:b/>
                <w:bCs/>
              </w:rPr>
            </w:pPr>
            <w:r>
              <w:rPr>
                <w:b/>
                <w:bCs/>
              </w:rPr>
              <w:t>Technologies</w:t>
            </w:r>
          </w:p>
        </w:tc>
      </w:tr>
      <w:tr w:rsidR="005251F4" w:rsidRPr="003D444F" w14:paraId="53DD3824" w14:textId="77777777" w:rsidTr="13F52FA1">
        <w:trPr>
          <w:tblCellSpacing w:w="15" w:type="dxa"/>
        </w:trPr>
        <w:tc>
          <w:tcPr>
            <w:tcW w:w="0" w:type="auto"/>
            <w:vAlign w:val="center"/>
            <w:hideMark/>
          </w:tcPr>
          <w:p w14:paraId="300CE7AD" w14:textId="77777777" w:rsidR="003D444F" w:rsidRPr="003D444F" w:rsidRDefault="003D444F" w:rsidP="003D444F">
            <w:r w:rsidRPr="003D444F">
              <w:rPr>
                <w:b/>
                <w:bCs/>
              </w:rPr>
              <w:t>Quantique</w:t>
            </w:r>
            <w:r w:rsidRPr="003D444F">
              <w:t xml:space="preserve"> (dont technologies habilitantes)</w:t>
            </w:r>
          </w:p>
        </w:tc>
        <w:tc>
          <w:tcPr>
            <w:tcW w:w="0" w:type="auto"/>
            <w:vAlign w:val="center"/>
            <w:hideMark/>
          </w:tcPr>
          <w:p w14:paraId="7A20B56E" w14:textId="56DEC086" w:rsidR="003D444F" w:rsidRPr="003D444F" w:rsidRDefault="4682816F" w:rsidP="003D444F">
            <w:r>
              <w:t>Informatique quantique, Simulation quantique, Communication quantique, Détection quantique et métrologie</w:t>
            </w:r>
            <w:r w:rsidR="4A1C45A0">
              <w:t xml:space="preserve">, </w:t>
            </w:r>
            <w:r w:rsidR="33FA531F">
              <w:t>technologies habilitantes</w:t>
            </w:r>
          </w:p>
        </w:tc>
      </w:tr>
      <w:tr w:rsidR="005251F4" w:rsidRPr="003D444F" w14:paraId="55ED3FD6" w14:textId="77777777" w:rsidTr="13F52FA1">
        <w:trPr>
          <w:tblCellSpacing w:w="15" w:type="dxa"/>
        </w:trPr>
        <w:tc>
          <w:tcPr>
            <w:tcW w:w="0" w:type="auto"/>
            <w:vAlign w:val="center"/>
            <w:hideMark/>
          </w:tcPr>
          <w:p w14:paraId="68BFAE98" w14:textId="77777777" w:rsidR="003D444F" w:rsidRPr="003D444F" w:rsidRDefault="003D444F" w:rsidP="003D444F">
            <w:r w:rsidRPr="003D444F">
              <w:rPr>
                <w:b/>
                <w:bCs/>
              </w:rPr>
              <w:t>Intelligence artificielle</w:t>
            </w:r>
          </w:p>
        </w:tc>
        <w:tc>
          <w:tcPr>
            <w:tcW w:w="0" w:type="auto"/>
            <w:vAlign w:val="center"/>
            <w:hideMark/>
          </w:tcPr>
          <w:p w14:paraId="1C99DE2E" w14:textId="1B04F2D0" w:rsidR="003D444F" w:rsidRPr="003D444F" w:rsidRDefault="463F73FB" w:rsidP="003D444F">
            <w:r>
              <w:t>Conception et déploiement de systèmes d'IA</w:t>
            </w:r>
            <w:r w:rsidR="47B252EE">
              <w:t>, notamment</w:t>
            </w:r>
            <w:r w:rsidR="7E27D015">
              <w:t xml:space="preserve"> </w:t>
            </w:r>
            <w:r>
              <w:t>à</w:t>
            </w:r>
            <w:r w:rsidR="57874A13">
              <w:t xml:space="preserve"> </w:t>
            </w:r>
            <w:r>
              <w:t xml:space="preserve"> </w:t>
            </w:r>
            <w:r w:rsidR="1763403B">
              <w:t xml:space="preserve">fort </w:t>
            </w:r>
            <w:r>
              <w:t>impact</w:t>
            </w:r>
            <w:r w:rsidR="04E47F84">
              <w:t xml:space="preserve"> dans l’industrie, la santé</w:t>
            </w:r>
            <w:r w:rsidR="3B69E6E2">
              <w:t xml:space="preserve">, la transition </w:t>
            </w:r>
            <w:r w:rsidR="3E0A573A">
              <w:t>écologique,  ..</w:t>
            </w:r>
          </w:p>
        </w:tc>
      </w:tr>
      <w:tr w:rsidR="005251F4" w:rsidRPr="003D444F" w14:paraId="2683D700" w14:textId="77777777" w:rsidTr="13F52FA1">
        <w:trPr>
          <w:tblCellSpacing w:w="15" w:type="dxa"/>
        </w:trPr>
        <w:tc>
          <w:tcPr>
            <w:tcW w:w="0" w:type="auto"/>
            <w:vAlign w:val="center"/>
            <w:hideMark/>
          </w:tcPr>
          <w:p w14:paraId="09B6C645" w14:textId="547EC8AF" w:rsidR="003D444F" w:rsidRPr="003D444F" w:rsidRDefault="003D444F" w:rsidP="003D444F">
            <w:r w:rsidRPr="003D444F">
              <w:rPr>
                <w:b/>
                <w:bCs/>
              </w:rPr>
              <w:lastRenderedPageBreak/>
              <w:t xml:space="preserve">Aéronautique, spatial, défense et </w:t>
            </w:r>
            <w:r w:rsidR="00D22972">
              <w:rPr>
                <w:b/>
                <w:bCs/>
              </w:rPr>
              <w:t>dual-tech</w:t>
            </w:r>
          </w:p>
        </w:tc>
        <w:tc>
          <w:tcPr>
            <w:tcW w:w="0" w:type="auto"/>
            <w:vAlign w:val="center"/>
            <w:hideMark/>
          </w:tcPr>
          <w:p w14:paraId="43E0EA28" w14:textId="2D72ECAA" w:rsidR="003D444F" w:rsidRPr="003D444F" w:rsidRDefault="003D444F" w:rsidP="003D444F">
            <w:r w:rsidRPr="003D444F">
              <w:t>Innovation dans les secteurs aéronautique, spatial</w:t>
            </w:r>
            <w:r w:rsidR="00D22972">
              <w:t xml:space="preserve"> </w:t>
            </w:r>
            <w:r w:rsidRPr="003D444F">
              <w:t>défense</w:t>
            </w:r>
            <w:r w:rsidR="00D22972">
              <w:t xml:space="preserve"> et technologies duales. </w:t>
            </w:r>
          </w:p>
        </w:tc>
      </w:tr>
      <w:tr w:rsidR="005251F4" w:rsidRPr="003D444F" w14:paraId="753D9E54" w14:textId="77777777" w:rsidTr="13F52FA1">
        <w:trPr>
          <w:tblCellSpacing w:w="15" w:type="dxa"/>
        </w:trPr>
        <w:tc>
          <w:tcPr>
            <w:tcW w:w="0" w:type="auto"/>
            <w:vAlign w:val="center"/>
            <w:hideMark/>
          </w:tcPr>
          <w:p w14:paraId="2ADBE601" w14:textId="77777777" w:rsidR="003D444F" w:rsidRPr="003D444F" w:rsidRDefault="003D444F" w:rsidP="003D444F">
            <w:r w:rsidRPr="003D444F">
              <w:rPr>
                <w:b/>
                <w:bCs/>
              </w:rPr>
              <w:t>Santé, santé des femmes, biotechnologies</w:t>
            </w:r>
          </w:p>
        </w:tc>
        <w:tc>
          <w:tcPr>
            <w:tcW w:w="0" w:type="auto"/>
            <w:vAlign w:val="center"/>
            <w:hideMark/>
          </w:tcPr>
          <w:p w14:paraId="51138762" w14:textId="77777777" w:rsidR="003D444F" w:rsidRPr="003D444F" w:rsidRDefault="003D444F" w:rsidP="003D444F">
            <w:r w:rsidRPr="003D444F">
              <w:t>Solutions thérapeutiques, diagnostiques et biotechnologiques, avec une attention particulière aux pathologies féminines</w:t>
            </w:r>
          </w:p>
        </w:tc>
      </w:tr>
      <w:tr w:rsidR="005251F4" w:rsidRPr="003D444F" w14:paraId="14DB8451" w14:textId="77777777" w:rsidTr="13F52FA1">
        <w:trPr>
          <w:tblCellSpacing w:w="15" w:type="dxa"/>
        </w:trPr>
        <w:tc>
          <w:tcPr>
            <w:tcW w:w="0" w:type="auto"/>
            <w:vAlign w:val="center"/>
            <w:hideMark/>
          </w:tcPr>
          <w:p w14:paraId="57EFF3A7" w14:textId="77777777" w:rsidR="003D444F" w:rsidRPr="003D444F" w:rsidRDefault="003D444F" w:rsidP="003D444F">
            <w:r w:rsidRPr="003D444F">
              <w:rPr>
                <w:b/>
                <w:bCs/>
              </w:rPr>
              <w:t>Semi-conducteurs</w:t>
            </w:r>
          </w:p>
        </w:tc>
        <w:tc>
          <w:tcPr>
            <w:tcW w:w="0" w:type="auto"/>
            <w:vAlign w:val="center"/>
            <w:hideMark/>
          </w:tcPr>
          <w:p w14:paraId="2B632051" w14:textId="73822E82" w:rsidR="003D444F" w:rsidRPr="003D444F" w:rsidRDefault="463F73FB" w:rsidP="003D444F">
            <w:r>
              <w:t>Conception, fabrication et intégration de composants semi-conducteurs</w:t>
            </w:r>
          </w:p>
        </w:tc>
      </w:tr>
      <w:tr w:rsidR="005251F4" w:rsidRPr="003D444F" w14:paraId="561C1A68" w14:textId="77777777" w:rsidTr="13F52FA1">
        <w:trPr>
          <w:tblCellSpacing w:w="15" w:type="dxa"/>
        </w:trPr>
        <w:tc>
          <w:tcPr>
            <w:tcW w:w="0" w:type="auto"/>
            <w:vAlign w:val="center"/>
            <w:hideMark/>
          </w:tcPr>
          <w:p w14:paraId="446FD671" w14:textId="77777777" w:rsidR="003D444F" w:rsidRPr="003D444F" w:rsidRDefault="003D444F" w:rsidP="003D444F">
            <w:r w:rsidRPr="003D444F">
              <w:rPr>
                <w:b/>
                <w:bCs/>
              </w:rPr>
              <w:t>Greentech</w:t>
            </w:r>
            <w:r w:rsidRPr="003D444F">
              <w:t xml:space="preserve"> (nouvelles énergies, matériaux)</w:t>
            </w:r>
          </w:p>
        </w:tc>
        <w:tc>
          <w:tcPr>
            <w:tcW w:w="0" w:type="auto"/>
            <w:vAlign w:val="center"/>
            <w:hideMark/>
          </w:tcPr>
          <w:p w14:paraId="11827DAD" w14:textId="77777777" w:rsidR="003D444F" w:rsidRPr="003D444F" w:rsidRDefault="003D444F" w:rsidP="003D444F">
            <w:r w:rsidRPr="003D444F">
              <w:t>Technologies vertes pour la transition énergétique et au développement de matériaux durables</w:t>
            </w:r>
          </w:p>
        </w:tc>
      </w:tr>
      <w:tr w:rsidR="005251F4" w:rsidRPr="003D444F" w14:paraId="6F62B073" w14:textId="77777777" w:rsidTr="13F52FA1">
        <w:trPr>
          <w:tblCellSpacing w:w="15" w:type="dxa"/>
        </w:trPr>
        <w:tc>
          <w:tcPr>
            <w:tcW w:w="0" w:type="auto"/>
            <w:vAlign w:val="center"/>
            <w:hideMark/>
          </w:tcPr>
          <w:p w14:paraId="0F2DE957" w14:textId="77777777" w:rsidR="003D444F" w:rsidRPr="003D444F" w:rsidRDefault="003D444F" w:rsidP="003D444F">
            <w:r w:rsidRPr="003D444F">
              <w:rPr>
                <w:b/>
                <w:bCs/>
              </w:rPr>
              <w:t>Mobilités propres</w:t>
            </w:r>
          </w:p>
        </w:tc>
        <w:tc>
          <w:tcPr>
            <w:tcW w:w="0" w:type="auto"/>
            <w:vAlign w:val="center"/>
            <w:hideMark/>
          </w:tcPr>
          <w:p w14:paraId="6F5D751C" w14:textId="77777777" w:rsidR="003D444F" w:rsidRPr="003D444F" w:rsidRDefault="003D444F" w:rsidP="003D444F">
            <w:r w:rsidRPr="003D444F">
              <w:t>Systèmes de transport décarbonés et infrastructures associées</w:t>
            </w:r>
          </w:p>
        </w:tc>
      </w:tr>
    </w:tbl>
    <w:p w14:paraId="1E8B33D4" w14:textId="5DD98AC6" w:rsidR="004C2C85" w:rsidRDefault="004C2C85" w:rsidP="13F52FA1">
      <w:r>
        <w:t>Les projets pourront couvrir plusieurs filières</w:t>
      </w:r>
      <w:r w:rsidR="00E5110A">
        <w:t>, dans des logiques de collaboration notamment</w:t>
      </w:r>
      <w:r w:rsidRPr="13F52FA1">
        <w:rPr>
          <w:rStyle w:val="Appelnotedebasdep"/>
        </w:rPr>
        <w:footnoteReference w:id="2"/>
      </w:r>
      <w:r w:rsidR="00E5110A">
        <w:t xml:space="preserve">. </w:t>
      </w:r>
    </w:p>
    <w:p w14:paraId="6CC267F4" w14:textId="27CF62FF" w:rsidR="004C2C85" w:rsidRDefault="004C2C85" w:rsidP="000C099E"/>
    <w:p w14:paraId="13ACA8CA" w14:textId="77777777" w:rsidR="00686949" w:rsidRDefault="00686949" w:rsidP="000C099E"/>
    <w:p w14:paraId="1B6A5D26" w14:textId="77777777" w:rsidR="004C2C85" w:rsidRDefault="004C2C85" w:rsidP="000C099E"/>
    <w:p w14:paraId="1A2E52BB" w14:textId="2512B525" w:rsidR="00BC1AA6" w:rsidRDefault="00BC1AA6" w:rsidP="00BC1AA6">
      <w:pPr>
        <w:pStyle w:val="Paragraphedeliste"/>
        <w:numPr>
          <w:ilvl w:val="1"/>
          <w:numId w:val="2"/>
        </w:numPr>
      </w:pPr>
      <w:r>
        <w:t xml:space="preserve">Eligibilité des candidats </w:t>
      </w:r>
    </w:p>
    <w:p w14:paraId="03C25DB1" w14:textId="77777777" w:rsidR="005408A3" w:rsidRDefault="005408A3" w:rsidP="005408A3"/>
    <w:p w14:paraId="08BF090D" w14:textId="77777777" w:rsidR="002E2E3A" w:rsidRDefault="002E2E3A" w:rsidP="005408A3"/>
    <w:p w14:paraId="0DCD0A37" w14:textId="31EE0139" w:rsidR="00453BE4" w:rsidRDefault="21F0F4E4" w:rsidP="00E16C3F">
      <w:pPr>
        <w:jc w:val="both"/>
      </w:pPr>
      <w:r>
        <w:t>Les projets doivent associer au minimum deux partenaires indépendants, dont au moins une PME. Les consortiums peuvent inclure des entreprises (PME ou grandes entreprises) et/ou des organismes de recherche, dans la limite de cinq partenaires. La collaboration devra être effective au sens du régime cadre d’aides d’État à la RDI SA.111723. À ce titre, aucun partenaire ne pourra supporter plus de 70 % des coûts admissibles du projet. Une attention particulière sera portée à l’implication effective des PME dans les travaux du projet.</w:t>
      </w:r>
    </w:p>
    <w:p w14:paraId="291FBF09" w14:textId="39D1D660" w:rsidR="47CB03B5" w:rsidRDefault="47CB03B5" w:rsidP="47CB03B5">
      <w:pPr>
        <w:jc w:val="both"/>
      </w:pPr>
    </w:p>
    <w:p w14:paraId="4BD55C09" w14:textId="4F9F6452" w:rsidR="681A03E5" w:rsidRDefault="681A03E5" w:rsidP="47CB03B5">
      <w:pPr>
        <w:jc w:val="both"/>
      </w:pPr>
      <w:r>
        <w:t xml:space="preserve">Sont donc éligibles les entreprises de toute taille : </w:t>
      </w:r>
    </w:p>
    <w:p w14:paraId="24546954" w14:textId="7234C521" w:rsidR="47CB03B5" w:rsidRDefault="47CB03B5" w:rsidP="47CB03B5">
      <w:pPr>
        <w:jc w:val="both"/>
      </w:pPr>
    </w:p>
    <w:p w14:paraId="0054BC79" w14:textId="36DE47B1" w:rsidR="681A03E5" w:rsidRDefault="681A03E5" w:rsidP="47CB03B5">
      <w:pPr>
        <w:pStyle w:val="Paragraphedeliste"/>
        <w:numPr>
          <w:ilvl w:val="0"/>
          <w:numId w:val="1"/>
        </w:numPr>
        <w:jc w:val="both"/>
      </w:pPr>
      <w:r>
        <w:t xml:space="preserve">Petite entreprise </w:t>
      </w:r>
      <w:r w:rsidR="620FAA02">
        <w:t>: e</w:t>
      </w:r>
      <w:r w:rsidR="620FAA02" w:rsidRPr="1E115D40">
        <w:t>ntreprise employant moins de 50 personnes et réalisant un chiffre d’affaires annuel ou un total de bilan ≤ 10 M€.</w:t>
      </w:r>
    </w:p>
    <w:p w14:paraId="27616DA0" w14:textId="169ACCA4" w:rsidR="681A03E5" w:rsidRDefault="681A03E5" w:rsidP="1E115D40">
      <w:pPr>
        <w:ind w:left="708"/>
        <w:jc w:val="both"/>
      </w:pPr>
    </w:p>
    <w:p w14:paraId="7465660A" w14:textId="7E5C5F4B" w:rsidR="681A03E5" w:rsidRDefault="681A03E5" w:rsidP="47CB03B5">
      <w:pPr>
        <w:pStyle w:val="Paragraphedeliste"/>
        <w:numPr>
          <w:ilvl w:val="0"/>
          <w:numId w:val="1"/>
        </w:numPr>
        <w:jc w:val="both"/>
      </w:pPr>
      <w:r>
        <w:t xml:space="preserve">Moyenne entreprise </w:t>
      </w:r>
      <w:r w:rsidR="48104BFF">
        <w:t>: e</w:t>
      </w:r>
      <w:r w:rsidR="48104BFF" w:rsidRPr="1E115D40">
        <w:t>ntreprise employant moins de 250 personnes et réalisant un chiffre d’affaires annuel ≤ 50 M€ ou un total de bilan ≤ 43 M€.</w:t>
      </w:r>
    </w:p>
    <w:p w14:paraId="6ED72B59" w14:textId="122B00C0" w:rsidR="681A03E5" w:rsidRDefault="681A03E5" w:rsidP="1E115D40">
      <w:pPr>
        <w:pStyle w:val="Paragraphedeliste"/>
        <w:jc w:val="both"/>
      </w:pPr>
    </w:p>
    <w:p w14:paraId="644D6C5F" w14:textId="77AF4A1A" w:rsidR="681A03E5" w:rsidRDefault="681A03E5" w:rsidP="47CB03B5">
      <w:pPr>
        <w:pStyle w:val="Paragraphedeliste"/>
        <w:numPr>
          <w:ilvl w:val="0"/>
          <w:numId w:val="1"/>
        </w:numPr>
        <w:jc w:val="both"/>
      </w:pPr>
      <w:r>
        <w:t xml:space="preserve">Grande entreprise </w:t>
      </w:r>
      <w:r w:rsidR="3C8DB19F">
        <w:t xml:space="preserve">: tout autre entreprise ne répondant pas à la catégorie de PME </w:t>
      </w:r>
    </w:p>
    <w:p w14:paraId="08F6C9FF" w14:textId="5257C924" w:rsidR="47CB03B5" w:rsidRDefault="47CB03B5" w:rsidP="47CB03B5">
      <w:pPr>
        <w:jc w:val="both"/>
      </w:pPr>
    </w:p>
    <w:p w14:paraId="4BB5DF6A" w14:textId="6027D5E3" w:rsidR="681A03E5" w:rsidRDefault="3C8DB19F" w:rsidP="47CB03B5">
      <w:pPr>
        <w:jc w:val="both"/>
      </w:pPr>
      <w:r>
        <w:t>Sont également éligibles</w:t>
      </w:r>
      <w:r w:rsidR="681A03E5">
        <w:t xml:space="preserve"> les </w:t>
      </w:r>
      <w:r w:rsidR="03F5D8A2">
        <w:t>organismes de recherches publics</w:t>
      </w:r>
      <w:r w:rsidR="63E4A37A">
        <w:t xml:space="preserve">, qui devront répondre à une déclaration sur l’honneur de leurs activités non économiques. </w:t>
      </w:r>
    </w:p>
    <w:p w14:paraId="560DDAAD" w14:textId="77777777" w:rsidR="005408A3" w:rsidRDefault="005408A3" w:rsidP="005408A3"/>
    <w:p w14:paraId="2D16CB38" w14:textId="77777777" w:rsidR="005408A3" w:rsidRDefault="005408A3" w:rsidP="005408A3"/>
    <w:p w14:paraId="207A5C53" w14:textId="466C7986" w:rsidR="00BC1AA6" w:rsidRDefault="00BC1AA6" w:rsidP="00BC1AA6">
      <w:pPr>
        <w:pStyle w:val="Paragraphedeliste"/>
        <w:numPr>
          <w:ilvl w:val="1"/>
          <w:numId w:val="2"/>
        </w:numPr>
      </w:pPr>
      <w:r>
        <w:t xml:space="preserve">Nature des projets </w:t>
      </w:r>
    </w:p>
    <w:p w14:paraId="711443F4" w14:textId="77777777" w:rsidR="009D21A7" w:rsidRDefault="009D21A7" w:rsidP="009D21A7"/>
    <w:p w14:paraId="1C7627F0" w14:textId="0397FC8A" w:rsidR="00623E64" w:rsidRDefault="00623E64" w:rsidP="00E16C3F">
      <w:pPr>
        <w:jc w:val="both"/>
      </w:pPr>
      <w:r w:rsidRPr="00623E64">
        <w:lastRenderedPageBreak/>
        <w:t xml:space="preserve">Les projets présenteront une durée comprise entre 24 et </w:t>
      </w:r>
      <w:r w:rsidR="00D44394">
        <w:t>48</w:t>
      </w:r>
      <w:r w:rsidRPr="00623E64">
        <w:t xml:space="preserve"> mois. Une entreprise sera identifiée comme chef de file du consortium (les partenaires de recherche ne pourront être désignés comme chef de file).</w:t>
      </w:r>
      <w:r w:rsidR="00686949">
        <w:t xml:space="preserve"> </w:t>
      </w:r>
    </w:p>
    <w:p w14:paraId="6493AA6A" w14:textId="77777777" w:rsidR="00623E64" w:rsidRDefault="00623E64" w:rsidP="00E16C3F">
      <w:pPr>
        <w:jc w:val="both"/>
      </w:pPr>
    </w:p>
    <w:p w14:paraId="057CCA55" w14:textId="42E08EE0" w:rsidR="00780D35" w:rsidRDefault="00623E64" w:rsidP="00E16C3F">
      <w:pPr>
        <w:jc w:val="both"/>
      </w:pPr>
      <w:r w:rsidRPr="00623E64">
        <w:t xml:space="preserve">L’assiette </w:t>
      </w:r>
      <w:r w:rsidR="00F34612">
        <w:t xml:space="preserve">totale </w:t>
      </w:r>
      <w:r w:rsidRPr="00623E64">
        <w:t>des dépenses à engager dans le cadre des travaux présentés</w:t>
      </w:r>
      <w:r w:rsidR="00F34612">
        <w:t xml:space="preserve"> pour le projet</w:t>
      </w:r>
      <w:r w:rsidRPr="00623E64">
        <w:t xml:space="preserve"> est comprise entre</w:t>
      </w:r>
      <w:r w:rsidR="00780D35">
        <w:t> :</w:t>
      </w:r>
    </w:p>
    <w:p w14:paraId="5C2EC689" w14:textId="77777777" w:rsidR="00D816D8" w:rsidRDefault="00D816D8" w:rsidP="00E16C3F">
      <w:pPr>
        <w:jc w:val="both"/>
      </w:pPr>
    </w:p>
    <w:tbl>
      <w:tblPr>
        <w:tblStyle w:val="Grilledutableau"/>
        <w:tblW w:w="0" w:type="auto"/>
        <w:tblLook w:val="04A0" w:firstRow="1" w:lastRow="0" w:firstColumn="1" w:lastColumn="0" w:noHBand="0" w:noVBand="1"/>
      </w:tblPr>
      <w:tblGrid>
        <w:gridCol w:w="3020"/>
        <w:gridCol w:w="3021"/>
        <w:gridCol w:w="3021"/>
      </w:tblGrid>
      <w:tr w:rsidR="003C2375" w14:paraId="3C2961BC" w14:textId="77777777" w:rsidTr="58F1F5B1">
        <w:tc>
          <w:tcPr>
            <w:tcW w:w="3020" w:type="dxa"/>
          </w:tcPr>
          <w:p w14:paraId="2E75840E" w14:textId="01716808" w:rsidR="003C2375" w:rsidRDefault="003C2375" w:rsidP="00E16C3F">
            <w:pPr>
              <w:jc w:val="both"/>
            </w:pPr>
            <w:r>
              <w:t xml:space="preserve">Taille du consortium </w:t>
            </w:r>
          </w:p>
        </w:tc>
        <w:tc>
          <w:tcPr>
            <w:tcW w:w="3021" w:type="dxa"/>
          </w:tcPr>
          <w:p w14:paraId="6D57E9EB" w14:textId="0A6125B8" w:rsidR="003C2375" w:rsidRDefault="00F34612" w:rsidP="00E16C3F">
            <w:pPr>
              <w:jc w:val="both"/>
            </w:pPr>
            <w:r>
              <w:t>Assiette minimale</w:t>
            </w:r>
          </w:p>
        </w:tc>
        <w:tc>
          <w:tcPr>
            <w:tcW w:w="3021" w:type="dxa"/>
          </w:tcPr>
          <w:p w14:paraId="60B5DE98" w14:textId="053832C1" w:rsidR="003C2375" w:rsidRDefault="003C2375" w:rsidP="00E16C3F">
            <w:pPr>
              <w:jc w:val="both"/>
            </w:pPr>
            <w:r>
              <w:t xml:space="preserve">Assiette </w:t>
            </w:r>
            <w:r w:rsidR="00F34612">
              <w:t>maximale</w:t>
            </w:r>
          </w:p>
        </w:tc>
      </w:tr>
      <w:tr w:rsidR="003C2375" w14:paraId="62A9DA4E" w14:textId="77777777" w:rsidTr="58F1F5B1">
        <w:tc>
          <w:tcPr>
            <w:tcW w:w="3020" w:type="dxa"/>
          </w:tcPr>
          <w:p w14:paraId="1A972E15" w14:textId="58925071" w:rsidR="003C2375" w:rsidRDefault="003C2375" w:rsidP="00E16C3F">
            <w:pPr>
              <w:jc w:val="both"/>
            </w:pPr>
            <w:r>
              <w:t>Deux entreprises dont au moins une PME</w:t>
            </w:r>
          </w:p>
        </w:tc>
        <w:tc>
          <w:tcPr>
            <w:tcW w:w="3021" w:type="dxa"/>
          </w:tcPr>
          <w:p w14:paraId="34CFABBA" w14:textId="023C57D4" w:rsidR="003C2375" w:rsidRDefault="009859F5" w:rsidP="00E16C3F">
            <w:pPr>
              <w:jc w:val="both"/>
            </w:pPr>
            <w:r>
              <w:t>1M€</w:t>
            </w:r>
          </w:p>
        </w:tc>
        <w:tc>
          <w:tcPr>
            <w:tcW w:w="3021" w:type="dxa"/>
          </w:tcPr>
          <w:p w14:paraId="1DFBDF15" w14:textId="4A13E1C2" w:rsidR="003C2375" w:rsidRDefault="00D731C6" w:rsidP="00E16C3F">
            <w:pPr>
              <w:jc w:val="both"/>
            </w:pPr>
            <w:r>
              <w:t>4</w:t>
            </w:r>
            <w:r w:rsidR="009859F5">
              <w:t>M€</w:t>
            </w:r>
          </w:p>
        </w:tc>
      </w:tr>
      <w:tr w:rsidR="003C2375" w14:paraId="2A10E7E3" w14:textId="77777777" w:rsidTr="58F1F5B1">
        <w:tc>
          <w:tcPr>
            <w:tcW w:w="3020" w:type="dxa"/>
          </w:tcPr>
          <w:p w14:paraId="11CCF237" w14:textId="530E2C94" w:rsidR="003C2375" w:rsidRDefault="009859F5" w:rsidP="00E16C3F">
            <w:pPr>
              <w:jc w:val="both"/>
            </w:pPr>
            <w:r>
              <w:t>Trois partenaires minium dont au moins un</w:t>
            </w:r>
            <w:r w:rsidR="008851A9">
              <w:t>e PME et un laboratoire</w:t>
            </w:r>
          </w:p>
        </w:tc>
        <w:tc>
          <w:tcPr>
            <w:tcW w:w="3021" w:type="dxa"/>
          </w:tcPr>
          <w:p w14:paraId="7E74D53C" w14:textId="48F467E1" w:rsidR="003C2375" w:rsidRDefault="0046149C" w:rsidP="00E16C3F">
            <w:pPr>
              <w:jc w:val="both"/>
            </w:pPr>
            <w:r>
              <w:t>1,5</w:t>
            </w:r>
            <w:r w:rsidR="008851A9">
              <w:t>M€</w:t>
            </w:r>
          </w:p>
        </w:tc>
        <w:tc>
          <w:tcPr>
            <w:tcW w:w="3021" w:type="dxa"/>
          </w:tcPr>
          <w:p w14:paraId="632553E8" w14:textId="4D7F5869" w:rsidR="003C2375" w:rsidRDefault="0046149C" w:rsidP="00E16C3F">
            <w:pPr>
              <w:jc w:val="both"/>
            </w:pPr>
            <w:r>
              <w:t>5</w:t>
            </w:r>
            <w:r w:rsidR="008851A9">
              <w:t>M€</w:t>
            </w:r>
          </w:p>
        </w:tc>
      </w:tr>
    </w:tbl>
    <w:p w14:paraId="11CD9497" w14:textId="77777777" w:rsidR="00D816D8" w:rsidRDefault="00D816D8" w:rsidP="00E16C3F">
      <w:pPr>
        <w:jc w:val="both"/>
      </w:pPr>
    </w:p>
    <w:p w14:paraId="5EDFA7FC" w14:textId="77777777" w:rsidR="00623E64" w:rsidRDefault="00623E64" w:rsidP="00E16C3F">
      <w:pPr>
        <w:jc w:val="both"/>
      </w:pPr>
    </w:p>
    <w:p w14:paraId="0D9DD3B3" w14:textId="5F83D06C" w:rsidR="009D21A7" w:rsidRDefault="00623E64" w:rsidP="00E16C3F">
      <w:pPr>
        <w:jc w:val="both"/>
      </w:pPr>
      <w:r w:rsidRPr="00623E64">
        <w:t>Les travaux de R&amp;D représentant moins de 5 % de l’assiette de dépenses du projet ou ayant une contribution faible au projet ont vocation à être pris en charge soit en autofinancement par les entités qui les réalisent, soit en sous-traitance des partenaires du projet, dans la limite maximale de 30% des dépenses totales présentées sauf exception.</w:t>
      </w:r>
    </w:p>
    <w:p w14:paraId="28FAF4A9" w14:textId="77777777" w:rsidR="00C65DF7" w:rsidRDefault="00C65DF7" w:rsidP="00C65DF7"/>
    <w:p w14:paraId="631457B7" w14:textId="77777777" w:rsidR="00C65DF7" w:rsidRDefault="00C65DF7" w:rsidP="00C65DF7"/>
    <w:p w14:paraId="1EB44E36" w14:textId="77777777" w:rsidR="00387C04" w:rsidRDefault="00BC1AA6" w:rsidP="001D0787">
      <w:pPr>
        <w:pStyle w:val="Paragraphedeliste"/>
        <w:numPr>
          <w:ilvl w:val="1"/>
          <w:numId w:val="2"/>
        </w:numPr>
      </w:pPr>
      <w:r>
        <w:t xml:space="preserve">Dépenses éligibles </w:t>
      </w:r>
    </w:p>
    <w:p w14:paraId="456A950B" w14:textId="77777777" w:rsidR="00387C04" w:rsidRDefault="00387C04" w:rsidP="00387C04"/>
    <w:p w14:paraId="288B0D4A" w14:textId="4BF9A8D7" w:rsidR="004D734A" w:rsidRDefault="0048240A" w:rsidP="00E16C3F">
      <w:pPr>
        <w:jc w:val="both"/>
      </w:pPr>
      <w:r w:rsidRPr="0048240A">
        <w:t xml:space="preserve">Conformément au régime d'aide </w:t>
      </w:r>
      <w:r w:rsidRPr="0048240A">
        <w:rPr>
          <w:b/>
          <w:bCs/>
        </w:rPr>
        <w:t>SA.111723</w:t>
      </w:r>
      <w:r w:rsidRPr="0048240A">
        <w:t xml:space="preserve"> </w:t>
      </w:r>
      <w:r w:rsidR="00A27A2B" w:rsidRPr="0048240A">
        <w:t>relatif</w:t>
      </w:r>
      <w:r w:rsidRPr="0048240A">
        <w:t xml:space="preserve"> aux aides à la recherche, au développement et à l'innovation (RDI)</w:t>
      </w:r>
      <w:r>
        <w:t xml:space="preserve"> pour la période 2024-2026</w:t>
      </w:r>
      <w:r w:rsidRPr="0048240A">
        <w:t>, les coûts admissibles pour le présent projet se décomposent selon les catégories suivantes, pour la seule part de leur affectation aux activités de R&amp;D :</w:t>
      </w:r>
    </w:p>
    <w:p w14:paraId="313E1002" w14:textId="77777777" w:rsidR="004D734A" w:rsidRDefault="004D734A" w:rsidP="00E16C3F">
      <w:pPr>
        <w:jc w:val="both"/>
      </w:pPr>
    </w:p>
    <w:p w14:paraId="4EA7A3E1" w14:textId="7C7A41D3" w:rsidR="004D734A" w:rsidRPr="00BE2A31" w:rsidRDefault="00A27A2B" w:rsidP="00E16C3F">
      <w:pPr>
        <w:pStyle w:val="Paragraphedeliste"/>
        <w:numPr>
          <w:ilvl w:val="0"/>
          <w:numId w:val="3"/>
        </w:numPr>
        <w:jc w:val="both"/>
        <w:rPr>
          <w:i/>
          <w:iCs/>
        </w:rPr>
      </w:pPr>
      <w:r w:rsidRPr="00BE2A31">
        <w:rPr>
          <w:i/>
          <w:iCs/>
        </w:rPr>
        <w:t>Les frais de personnel : chercheurs, techniciens et autres personnels d’appui s’ils sont employés pour le projet ;</w:t>
      </w:r>
    </w:p>
    <w:p w14:paraId="4122F504" w14:textId="77777777" w:rsidR="00A27A2B" w:rsidRPr="00BE2A31" w:rsidRDefault="00A27A2B" w:rsidP="00E16C3F">
      <w:pPr>
        <w:jc w:val="both"/>
        <w:rPr>
          <w:i/>
          <w:iCs/>
        </w:rPr>
      </w:pPr>
    </w:p>
    <w:p w14:paraId="22D02F89" w14:textId="54C562BE" w:rsidR="009C6A2B" w:rsidRPr="00BE2A31" w:rsidRDefault="005D33E7" w:rsidP="00E16C3F">
      <w:pPr>
        <w:pStyle w:val="Paragraphedeliste"/>
        <w:numPr>
          <w:ilvl w:val="0"/>
          <w:numId w:val="3"/>
        </w:numPr>
        <w:jc w:val="both"/>
        <w:rPr>
          <w:i/>
          <w:iCs/>
        </w:rPr>
      </w:pPr>
      <w:r w:rsidRPr="00BE2A31">
        <w:rPr>
          <w:i/>
          <w:iCs/>
        </w:rPr>
        <w:t>les coûts des instruments et du matériel, dans la mesure où et aussi longtemps qu'ils sont utilisés pour le projet. Lorsque ces instruments et ce matériel ne sont pas utilisés pendant toute leur durée de vie dans le cadre du projet, seuls les coûts d'amortissement correspondant à la durée du projet, calculés conformément aux principes comptables généralement admis, sont jugés admissibles ;</w:t>
      </w:r>
    </w:p>
    <w:p w14:paraId="06CC9935" w14:textId="77777777" w:rsidR="005D33E7" w:rsidRPr="00BE2A31" w:rsidRDefault="005D33E7" w:rsidP="00E16C3F">
      <w:pPr>
        <w:jc w:val="both"/>
        <w:rPr>
          <w:i/>
          <w:iCs/>
        </w:rPr>
      </w:pPr>
    </w:p>
    <w:p w14:paraId="23730B42" w14:textId="77777777" w:rsidR="009C6A2B" w:rsidRPr="00BE2A31" w:rsidRDefault="009C6A2B" w:rsidP="00E16C3F">
      <w:pPr>
        <w:pStyle w:val="Paragraphedeliste"/>
        <w:numPr>
          <w:ilvl w:val="0"/>
          <w:numId w:val="3"/>
        </w:numPr>
        <w:jc w:val="both"/>
        <w:rPr>
          <w:i/>
          <w:iCs/>
        </w:rPr>
      </w:pPr>
      <w:r w:rsidRPr="00BE2A31">
        <w:rPr>
          <w:i/>
          <w:iCs/>
        </w:rPr>
        <w:t xml:space="preserve">Les coûts de la recherche contractuelle, des connaissances et des brevets achetés ou pris sous licence auprès de sources extérieures à des conditions de pleine concurrence, ainsi que les coûts des services de conseil et des services équivalents utilisés exclusivement aux fins du projet ;  </w:t>
      </w:r>
    </w:p>
    <w:p w14:paraId="47468545" w14:textId="77777777" w:rsidR="009C6A2B" w:rsidRPr="00BE2A31" w:rsidRDefault="009C6A2B" w:rsidP="00E16C3F">
      <w:pPr>
        <w:jc w:val="both"/>
        <w:rPr>
          <w:i/>
          <w:iCs/>
        </w:rPr>
      </w:pPr>
    </w:p>
    <w:p w14:paraId="0A15FE93" w14:textId="1D085C56" w:rsidR="004D734A" w:rsidRPr="00BE2A31" w:rsidRDefault="009C6A2B" w:rsidP="00E16C3F">
      <w:pPr>
        <w:pStyle w:val="Paragraphedeliste"/>
        <w:numPr>
          <w:ilvl w:val="0"/>
          <w:numId w:val="3"/>
        </w:numPr>
        <w:jc w:val="both"/>
        <w:rPr>
          <w:i/>
          <w:iCs/>
        </w:rPr>
      </w:pPr>
      <w:r w:rsidRPr="00BE2A31">
        <w:rPr>
          <w:i/>
          <w:iCs/>
        </w:rPr>
        <w:t>Les frais généraux additionnels et les autres frais d’exploitation, notamment les coûts des matériaux, fournitures et produits similaires, supportés directement du fait du projet.</w:t>
      </w:r>
      <w:r w:rsidR="00282735" w:rsidRPr="00BE2A31">
        <w:rPr>
          <w:i/>
          <w:iCs/>
        </w:rPr>
        <w:t xml:space="preserve"> </w:t>
      </w:r>
    </w:p>
    <w:p w14:paraId="4871C691" w14:textId="77777777" w:rsidR="004D734A" w:rsidRDefault="004D734A" w:rsidP="00E16C3F">
      <w:pPr>
        <w:jc w:val="both"/>
      </w:pPr>
    </w:p>
    <w:p w14:paraId="63BE4645" w14:textId="2664C637" w:rsidR="00387C04" w:rsidRDefault="000F15AF" w:rsidP="00E16C3F">
      <w:pPr>
        <w:jc w:val="both"/>
      </w:pPr>
      <w:r>
        <w:t xml:space="preserve">La demande de subvention doit </w:t>
      </w:r>
      <w:r w:rsidR="001546B1">
        <w:t>respecter</w:t>
      </w:r>
      <w:r>
        <w:t xml:space="preserve"> le critère d’incitativité. </w:t>
      </w:r>
      <w:r w:rsidR="004C1FA4" w:rsidRPr="001D1CFC">
        <w:rPr>
          <w:b/>
          <w:bCs/>
        </w:rPr>
        <w:t xml:space="preserve">Les dépenses ne doivent en aucun avoir été engagées avant la date du dépôt du dossier de </w:t>
      </w:r>
      <w:r w:rsidR="004C1FA4" w:rsidRPr="001D1CFC">
        <w:rPr>
          <w:b/>
          <w:bCs/>
        </w:rPr>
        <w:lastRenderedPageBreak/>
        <w:t xml:space="preserve">candidature sur la plateforme </w:t>
      </w:r>
      <w:hyperlink r:id="rId12" w:history="1">
        <w:r w:rsidR="004C1FA4" w:rsidRPr="001D1CFC">
          <w:rPr>
            <w:rStyle w:val="Lienhypertexte"/>
            <w:b/>
            <w:bCs/>
          </w:rPr>
          <w:t>mesdémarches</w:t>
        </w:r>
      </w:hyperlink>
      <w:r w:rsidR="004C1FA4">
        <w:t xml:space="preserve">. </w:t>
      </w:r>
      <w:r w:rsidR="005F03B8" w:rsidRPr="005F03B8">
        <w:t>Aucune dépense engagée antérieurement à la date de dépôt de la demande d’aide ne pourra être retenue. Ainsi, une dépense effectivement payée après la date de dépôt de la demande d’aide mais sur laquelle le bénéficiaire s’est engagé avant la date de dépôt de la demande (par exemple par une signature d’un bon de commande, un contrat, attribution d’un marché…) est inéligible, puisqu’elle met en cause le caractère incitatif de l’aide sur le projet dans sa globalité.</w:t>
      </w:r>
    </w:p>
    <w:p w14:paraId="3454C96F" w14:textId="77777777" w:rsidR="00387C04" w:rsidRDefault="00387C04" w:rsidP="00E16C3F">
      <w:pPr>
        <w:jc w:val="both"/>
      </w:pPr>
    </w:p>
    <w:p w14:paraId="6D4C9CB6" w14:textId="77777777" w:rsidR="00387C04" w:rsidRDefault="00387C04" w:rsidP="00E16C3F">
      <w:pPr>
        <w:jc w:val="both"/>
      </w:pPr>
    </w:p>
    <w:p w14:paraId="58EF9E80" w14:textId="233761EC" w:rsidR="00BC1AA6" w:rsidRDefault="00BC1AA6" w:rsidP="00E16C3F">
      <w:pPr>
        <w:pStyle w:val="Paragraphedeliste"/>
        <w:numPr>
          <w:ilvl w:val="1"/>
          <w:numId w:val="2"/>
        </w:numPr>
        <w:jc w:val="both"/>
      </w:pPr>
      <w:r>
        <w:t xml:space="preserve">Modalité de l’aide </w:t>
      </w:r>
    </w:p>
    <w:p w14:paraId="6F8EEC7D" w14:textId="77777777" w:rsidR="00A5680F" w:rsidRDefault="00A5680F" w:rsidP="00E16C3F">
      <w:pPr>
        <w:jc w:val="both"/>
      </w:pPr>
    </w:p>
    <w:p w14:paraId="2F12980E" w14:textId="1D1F856D" w:rsidR="00A5680F" w:rsidRDefault="000A647C" w:rsidP="00E16C3F">
      <w:pPr>
        <w:jc w:val="both"/>
      </w:pPr>
      <w:r>
        <w:t xml:space="preserve">Le taux d’intervention pourra être modulé en fonction des </w:t>
      </w:r>
      <w:r w:rsidR="00F844CB">
        <w:t>caractéristiques</w:t>
      </w:r>
      <w:r>
        <w:t xml:space="preserve"> </w:t>
      </w:r>
      <w:r w:rsidR="003235B6">
        <w:t xml:space="preserve">du projet, son niveau de risque, les retombées économiques, l’incitativité de l’aide, et la qualité globale du dossier. </w:t>
      </w:r>
    </w:p>
    <w:p w14:paraId="09AD3980" w14:textId="77777777" w:rsidR="003235B6" w:rsidRDefault="003235B6" w:rsidP="00E16C3F">
      <w:pPr>
        <w:jc w:val="both"/>
      </w:pPr>
    </w:p>
    <w:p w14:paraId="34F5FE7A" w14:textId="4394B5E3" w:rsidR="003235B6" w:rsidRPr="003235B6" w:rsidRDefault="003235B6" w:rsidP="00E16C3F">
      <w:pPr>
        <w:jc w:val="both"/>
        <w:rPr>
          <w:b/>
          <w:bCs/>
          <w:u w:val="single"/>
        </w:rPr>
      </w:pPr>
      <w:r w:rsidRPr="003235B6">
        <w:rPr>
          <w:b/>
          <w:bCs/>
          <w:u w:val="single"/>
        </w:rPr>
        <w:t xml:space="preserve">Activités économiques </w:t>
      </w:r>
    </w:p>
    <w:p w14:paraId="3BC3C128" w14:textId="77777777" w:rsidR="00A5680F" w:rsidRDefault="00A5680F" w:rsidP="00E16C3F">
      <w:pPr>
        <w:jc w:val="both"/>
      </w:pPr>
    </w:p>
    <w:p w14:paraId="32C4EB0C" w14:textId="77777777" w:rsidR="009153A5" w:rsidRDefault="009153A5" w:rsidP="00E16C3F">
      <w:pPr>
        <w:jc w:val="both"/>
      </w:pPr>
      <w:r w:rsidRPr="009153A5">
        <w:t xml:space="preserve">Sont considérées comme « économiques les activités des entités, généralement des entreprises, consistant à offrir des biens ou services sur un marché potentiel, avec l’espérance de retours financiers basés sur les résultats du projet. </w:t>
      </w:r>
    </w:p>
    <w:p w14:paraId="67850E72" w14:textId="77777777" w:rsidR="00B66883" w:rsidRDefault="00B66883" w:rsidP="00E16C3F">
      <w:pPr>
        <w:jc w:val="both"/>
      </w:pPr>
    </w:p>
    <w:p w14:paraId="443BBF18" w14:textId="4779F876" w:rsidR="009153A5" w:rsidRDefault="009153A5" w:rsidP="00E16C3F">
      <w:pPr>
        <w:jc w:val="both"/>
      </w:pPr>
      <w:r w:rsidRPr="009153A5">
        <w:t>Le taux de l’aide s’applique sur les dépenses éligibles et dans la limite des intensités maximales permises par les régimes d’aides.</w:t>
      </w:r>
    </w:p>
    <w:p w14:paraId="3298AEEA" w14:textId="77777777" w:rsidR="009153A5" w:rsidRDefault="009153A5" w:rsidP="00E16C3F">
      <w:pPr>
        <w:jc w:val="both"/>
      </w:pPr>
    </w:p>
    <w:tbl>
      <w:tblPr>
        <w:tblStyle w:val="Grilledutableau"/>
        <w:tblW w:w="0" w:type="auto"/>
        <w:tblLook w:val="04A0" w:firstRow="1" w:lastRow="0" w:firstColumn="1" w:lastColumn="0" w:noHBand="0" w:noVBand="1"/>
      </w:tblPr>
      <w:tblGrid>
        <w:gridCol w:w="2265"/>
        <w:gridCol w:w="2265"/>
        <w:gridCol w:w="2266"/>
        <w:gridCol w:w="2266"/>
      </w:tblGrid>
      <w:tr w:rsidR="00CC25DC" w14:paraId="184134E9" w14:textId="77777777" w:rsidTr="00CC25DC">
        <w:tc>
          <w:tcPr>
            <w:tcW w:w="2265" w:type="dxa"/>
          </w:tcPr>
          <w:p w14:paraId="7037C883" w14:textId="77777777" w:rsidR="00CC25DC" w:rsidRDefault="00CC25DC" w:rsidP="00E16C3F">
            <w:pPr>
              <w:jc w:val="both"/>
            </w:pPr>
          </w:p>
        </w:tc>
        <w:tc>
          <w:tcPr>
            <w:tcW w:w="2265" w:type="dxa"/>
            <w:shd w:val="clear" w:color="auto" w:fill="D9D9D9" w:themeFill="background1" w:themeFillShade="D9"/>
          </w:tcPr>
          <w:p w14:paraId="2714405A" w14:textId="2F6F46FC" w:rsidR="00CC25DC" w:rsidRDefault="00CC25DC" w:rsidP="00E16C3F">
            <w:pPr>
              <w:jc w:val="both"/>
            </w:pPr>
            <w:r>
              <w:t>Type d’entreprise</w:t>
            </w:r>
          </w:p>
        </w:tc>
        <w:tc>
          <w:tcPr>
            <w:tcW w:w="2266" w:type="dxa"/>
            <w:shd w:val="clear" w:color="auto" w:fill="D9D9D9" w:themeFill="background1" w:themeFillShade="D9"/>
          </w:tcPr>
          <w:p w14:paraId="4EF592CA" w14:textId="77777777" w:rsidR="00CC25DC" w:rsidRDefault="00CC25DC" w:rsidP="00E16C3F">
            <w:pPr>
              <w:jc w:val="both"/>
            </w:pPr>
          </w:p>
        </w:tc>
        <w:tc>
          <w:tcPr>
            <w:tcW w:w="2266" w:type="dxa"/>
            <w:shd w:val="clear" w:color="auto" w:fill="D9D9D9" w:themeFill="background1" w:themeFillShade="D9"/>
          </w:tcPr>
          <w:p w14:paraId="3E0D1DE8" w14:textId="77777777" w:rsidR="00CC25DC" w:rsidRDefault="00CC25DC" w:rsidP="00E16C3F">
            <w:pPr>
              <w:jc w:val="both"/>
            </w:pPr>
          </w:p>
        </w:tc>
      </w:tr>
      <w:tr w:rsidR="006D6F1B" w14:paraId="0A89C74A" w14:textId="77777777" w:rsidTr="00CC25DC">
        <w:tc>
          <w:tcPr>
            <w:tcW w:w="2265" w:type="dxa"/>
          </w:tcPr>
          <w:p w14:paraId="4DE600F8" w14:textId="75DBE720" w:rsidR="006D6F1B" w:rsidRDefault="007341FC" w:rsidP="00E16C3F">
            <w:pPr>
              <w:jc w:val="both"/>
            </w:pPr>
            <w:r>
              <w:t xml:space="preserve">Taux maximum applicables </w:t>
            </w:r>
          </w:p>
        </w:tc>
        <w:tc>
          <w:tcPr>
            <w:tcW w:w="2265" w:type="dxa"/>
            <w:shd w:val="clear" w:color="auto" w:fill="D9D9D9" w:themeFill="background1" w:themeFillShade="D9"/>
          </w:tcPr>
          <w:p w14:paraId="0BC009DB" w14:textId="193C77FF" w:rsidR="006D6F1B" w:rsidRDefault="006D6F1B" w:rsidP="00E16C3F">
            <w:pPr>
              <w:jc w:val="both"/>
            </w:pPr>
            <w:r>
              <w:t xml:space="preserve">Petite entreprise </w:t>
            </w:r>
          </w:p>
        </w:tc>
        <w:tc>
          <w:tcPr>
            <w:tcW w:w="2266" w:type="dxa"/>
            <w:shd w:val="clear" w:color="auto" w:fill="D9D9D9" w:themeFill="background1" w:themeFillShade="D9"/>
          </w:tcPr>
          <w:p w14:paraId="6146CF47" w14:textId="47862609" w:rsidR="006D6F1B" w:rsidRDefault="006D6F1B" w:rsidP="00E16C3F">
            <w:pPr>
              <w:jc w:val="both"/>
            </w:pPr>
            <w:r>
              <w:t xml:space="preserve">Moyenne entreprise </w:t>
            </w:r>
          </w:p>
        </w:tc>
        <w:tc>
          <w:tcPr>
            <w:tcW w:w="2266" w:type="dxa"/>
            <w:shd w:val="clear" w:color="auto" w:fill="D9D9D9" w:themeFill="background1" w:themeFillShade="D9"/>
          </w:tcPr>
          <w:p w14:paraId="748AC3E3" w14:textId="1F72306F" w:rsidR="006D6F1B" w:rsidRDefault="006D6F1B" w:rsidP="00E16C3F">
            <w:pPr>
              <w:jc w:val="both"/>
            </w:pPr>
            <w:r>
              <w:t xml:space="preserve">Grande entreprise </w:t>
            </w:r>
          </w:p>
        </w:tc>
      </w:tr>
      <w:tr w:rsidR="00BF628E" w14:paraId="6925DE7C" w14:textId="77777777" w:rsidTr="006D6F1B">
        <w:tc>
          <w:tcPr>
            <w:tcW w:w="2265" w:type="dxa"/>
          </w:tcPr>
          <w:p w14:paraId="4809A4BD" w14:textId="070373FF" w:rsidR="00BF628E" w:rsidRDefault="00723BEB" w:rsidP="00E16C3F">
            <w:pPr>
              <w:jc w:val="both"/>
            </w:pPr>
            <w:r>
              <w:t xml:space="preserve">Hors collaboration effective </w:t>
            </w:r>
          </w:p>
        </w:tc>
        <w:tc>
          <w:tcPr>
            <w:tcW w:w="2265" w:type="dxa"/>
          </w:tcPr>
          <w:p w14:paraId="3501BABB" w14:textId="0E2AEEDF" w:rsidR="00BF628E" w:rsidRDefault="00BF628E" w:rsidP="00E16C3F">
            <w:pPr>
              <w:jc w:val="both"/>
            </w:pPr>
            <w:r>
              <w:t>45%</w:t>
            </w:r>
          </w:p>
        </w:tc>
        <w:tc>
          <w:tcPr>
            <w:tcW w:w="2266" w:type="dxa"/>
          </w:tcPr>
          <w:p w14:paraId="1E656A22" w14:textId="6600DBA7" w:rsidR="00BF628E" w:rsidRDefault="00BF628E" w:rsidP="00E16C3F">
            <w:pPr>
              <w:jc w:val="both"/>
            </w:pPr>
            <w:r>
              <w:t>35%</w:t>
            </w:r>
          </w:p>
        </w:tc>
        <w:tc>
          <w:tcPr>
            <w:tcW w:w="2266" w:type="dxa"/>
          </w:tcPr>
          <w:p w14:paraId="33A557CB" w14:textId="7B369508" w:rsidR="00BF628E" w:rsidRDefault="00BF628E" w:rsidP="00E16C3F">
            <w:pPr>
              <w:jc w:val="both"/>
            </w:pPr>
            <w:r>
              <w:t>25%</w:t>
            </w:r>
          </w:p>
        </w:tc>
      </w:tr>
      <w:tr w:rsidR="006D6F1B" w14:paraId="2F848701" w14:textId="77777777" w:rsidTr="006D6F1B">
        <w:tc>
          <w:tcPr>
            <w:tcW w:w="2265" w:type="dxa"/>
          </w:tcPr>
          <w:p w14:paraId="62AF240B" w14:textId="24A5C857" w:rsidR="006D6F1B" w:rsidRDefault="00723BEB" w:rsidP="00E16C3F">
            <w:pPr>
              <w:jc w:val="both"/>
            </w:pPr>
            <w:r>
              <w:t>Collaboration effective</w:t>
            </w:r>
            <w:r w:rsidR="002F2000">
              <w:t xml:space="preserve"> (1)</w:t>
            </w:r>
            <w:r>
              <w:t xml:space="preserve"> </w:t>
            </w:r>
          </w:p>
        </w:tc>
        <w:tc>
          <w:tcPr>
            <w:tcW w:w="2265" w:type="dxa"/>
          </w:tcPr>
          <w:p w14:paraId="7406A2BE" w14:textId="68CA03ED" w:rsidR="006D6F1B" w:rsidRDefault="00C03A2F" w:rsidP="00E16C3F">
            <w:pPr>
              <w:jc w:val="both"/>
            </w:pPr>
            <w:r>
              <w:t>60</w:t>
            </w:r>
            <w:r w:rsidR="00554E99">
              <w:t>%</w:t>
            </w:r>
            <w:r w:rsidR="00B66883">
              <w:t xml:space="preserve"> des coûts admissibles</w:t>
            </w:r>
          </w:p>
        </w:tc>
        <w:tc>
          <w:tcPr>
            <w:tcW w:w="2266" w:type="dxa"/>
          </w:tcPr>
          <w:p w14:paraId="3D9E50AE" w14:textId="2E8031B5" w:rsidR="006D6F1B" w:rsidRDefault="00C03A2F" w:rsidP="00E16C3F">
            <w:pPr>
              <w:jc w:val="both"/>
            </w:pPr>
            <w:r>
              <w:t>50</w:t>
            </w:r>
            <w:r w:rsidR="00B66883">
              <w:t>%</w:t>
            </w:r>
          </w:p>
        </w:tc>
        <w:tc>
          <w:tcPr>
            <w:tcW w:w="2266" w:type="dxa"/>
          </w:tcPr>
          <w:p w14:paraId="7D89EE36" w14:textId="06FFC313" w:rsidR="006D6F1B" w:rsidRDefault="00C03A2F" w:rsidP="00E16C3F">
            <w:pPr>
              <w:jc w:val="both"/>
            </w:pPr>
            <w:r>
              <w:t>40</w:t>
            </w:r>
            <w:r w:rsidR="00B66883">
              <w:t>%</w:t>
            </w:r>
          </w:p>
        </w:tc>
      </w:tr>
    </w:tbl>
    <w:p w14:paraId="22DF5132" w14:textId="73C58780" w:rsidR="00F844CB" w:rsidRDefault="00F844CB" w:rsidP="00E16C3F">
      <w:pPr>
        <w:jc w:val="both"/>
      </w:pPr>
    </w:p>
    <w:p w14:paraId="377DCB64" w14:textId="494D12F2" w:rsidR="002F2000" w:rsidRPr="00F5497B" w:rsidRDefault="002F2000" w:rsidP="00E16C3F">
      <w:pPr>
        <w:pStyle w:val="Paragraphedeliste"/>
        <w:numPr>
          <w:ilvl w:val="0"/>
          <w:numId w:val="8"/>
        </w:numPr>
        <w:jc w:val="both"/>
        <w:rPr>
          <w:sz w:val="22"/>
          <w:szCs w:val="22"/>
        </w:rPr>
      </w:pPr>
      <w:r w:rsidRPr="00F5497B">
        <w:rPr>
          <w:sz w:val="22"/>
          <w:szCs w:val="22"/>
        </w:rPr>
        <w:t> : Une collaboration effective</w:t>
      </w:r>
      <w:r w:rsidR="000C0CF4" w:rsidRPr="00F5497B">
        <w:rPr>
          <w:rStyle w:val="Appelnotedebasdep"/>
          <w:sz w:val="22"/>
          <w:szCs w:val="22"/>
        </w:rPr>
        <w:footnoteReference w:id="3"/>
      </w:r>
      <w:r w:rsidRPr="00F5497B">
        <w:rPr>
          <w:sz w:val="22"/>
          <w:szCs w:val="22"/>
        </w:rPr>
        <w:t xml:space="preserve"> existe :</w:t>
      </w:r>
    </w:p>
    <w:p w14:paraId="59245430" w14:textId="77777777" w:rsidR="002F2000" w:rsidRPr="00F5497B" w:rsidRDefault="002F2000" w:rsidP="00E16C3F">
      <w:pPr>
        <w:pStyle w:val="Paragraphedeliste"/>
        <w:jc w:val="both"/>
        <w:rPr>
          <w:sz w:val="22"/>
          <w:szCs w:val="22"/>
        </w:rPr>
      </w:pPr>
    </w:p>
    <w:p w14:paraId="6F1FCA50" w14:textId="77777777" w:rsidR="002F2000" w:rsidRPr="00F5497B" w:rsidRDefault="002F2000" w:rsidP="00E16C3F">
      <w:pPr>
        <w:pStyle w:val="Paragraphedeliste"/>
        <w:numPr>
          <w:ilvl w:val="0"/>
          <w:numId w:val="9"/>
        </w:numPr>
        <w:jc w:val="both"/>
        <w:rPr>
          <w:sz w:val="22"/>
          <w:szCs w:val="22"/>
        </w:rPr>
      </w:pPr>
      <w:r w:rsidRPr="00F5497B">
        <w:rPr>
          <w:sz w:val="22"/>
          <w:szCs w:val="22"/>
        </w:rPr>
        <w:t xml:space="preserve">entre des entreprises parmi lesquelles figure au moins une PME, ou est menée dans au moins deux Etats membres, ou dans un Etat membre et une partie contractante à l’accord EEE, et aucune entreprise unique ne supporte seule plus de 70 % des coûts admissibles ; </w:t>
      </w:r>
    </w:p>
    <w:p w14:paraId="66036BCE" w14:textId="2C4BB306" w:rsidR="002F2000" w:rsidRPr="00F5497B" w:rsidRDefault="002F2000" w:rsidP="00E16C3F">
      <w:pPr>
        <w:pStyle w:val="Paragraphedeliste"/>
        <w:jc w:val="both"/>
        <w:rPr>
          <w:sz w:val="22"/>
          <w:szCs w:val="22"/>
        </w:rPr>
      </w:pPr>
      <w:r w:rsidRPr="00F5497B">
        <w:rPr>
          <w:sz w:val="22"/>
          <w:szCs w:val="22"/>
        </w:rPr>
        <w:t xml:space="preserve">ou </w:t>
      </w:r>
    </w:p>
    <w:p w14:paraId="30C39031" w14:textId="77777777" w:rsidR="004D1D6C" w:rsidRPr="00F5497B" w:rsidRDefault="004D1D6C" w:rsidP="00E16C3F">
      <w:pPr>
        <w:jc w:val="both"/>
        <w:rPr>
          <w:sz w:val="22"/>
          <w:szCs w:val="22"/>
        </w:rPr>
      </w:pPr>
    </w:p>
    <w:p w14:paraId="2FC3F781" w14:textId="14BB06E0" w:rsidR="009153A5" w:rsidRPr="00F5497B" w:rsidRDefault="002F2000" w:rsidP="00E16C3F">
      <w:pPr>
        <w:pStyle w:val="Paragraphedeliste"/>
        <w:numPr>
          <w:ilvl w:val="0"/>
          <w:numId w:val="9"/>
        </w:numPr>
        <w:jc w:val="both"/>
        <w:rPr>
          <w:sz w:val="22"/>
          <w:szCs w:val="22"/>
        </w:rPr>
      </w:pPr>
      <w:r w:rsidRPr="00F5497B">
        <w:rPr>
          <w:sz w:val="22"/>
          <w:szCs w:val="22"/>
        </w:rPr>
        <w:t>entre une entreprise et un ou plusieurs organismes de recherche et de diffusion des connaissances, et ce ou ces derniers supportent au moins 10 % des coûts admissibles et ont le droit de publier les résultats de leurs propres recherches.</w:t>
      </w:r>
    </w:p>
    <w:p w14:paraId="37B818C4" w14:textId="77777777" w:rsidR="002F2000" w:rsidRPr="00F5497B" w:rsidRDefault="002F2000" w:rsidP="00E16C3F">
      <w:pPr>
        <w:jc w:val="both"/>
        <w:rPr>
          <w:sz w:val="22"/>
          <w:szCs w:val="22"/>
        </w:rPr>
      </w:pPr>
    </w:p>
    <w:p w14:paraId="036DD607" w14:textId="77777777" w:rsidR="005C3AE3" w:rsidRDefault="005C3AE3" w:rsidP="00E16C3F">
      <w:pPr>
        <w:jc w:val="both"/>
      </w:pPr>
    </w:p>
    <w:p w14:paraId="5672CA5F" w14:textId="77777777" w:rsidR="00FA3D7B" w:rsidRPr="00470C4B" w:rsidRDefault="00FA3D7B" w:rsidP="00E16C3F">
      <w:pPr>
        <w:jc w:val="both"/>
        <w:rPr>
          <w:b/>
          <w:bCs/>
        </w:rPr>
      </w:pPr>
      <w:r w:rsidRPr="00470C4B">
        <w:rPr>
          <w:b/>
          <w:bCs/>
        </w:rPr>
        <w:t xml:space="preserve">Activités non économiques :  </w:t>
      </w:r>
    </w:p>
    <w:p w14:paraId="4F9199B1" w14:textId="77777777" w:rsidR="00FA3D7B" w:rsidRDefault="00FA3D7B" w:rsidP="00E16C3F">
      <w:pPr>
        <w:jc w:val="both"/>
      </w:pPr>
    </w:p>
    <w:p w14:paraId="718C993A" w14:textId="77777777" w:rsidR="00FA3D7B" w:rsidRDefault="00FA3D7B" w:rsidP="00E16C3F">
      <w:pPr>
        <w:jc w:val="both"/>
      </w:pPr>
      <w:r w:rsidRPr="00FA3D7B">
        <w:t xml:space="preserve">Sont considérées comme « non économiques » les activités des entités, </w:t>
      </w:r>
      <w:r w:rsidRPr="00714DA4">
        <w:rPr>
          <w:b/>
          <w:bCs/>
        </w:rPr>
        <w:t>généralement des établissements de recherche</w:t>
      </w:r>
      <w:r w:rsidRPr="00FA3D7B">
        <w:t>, quel que soit leur statut, remplissant une mission d’intérêt général en consacrant une part prépondérante de leur activité à la R&amp;D. Les activités relevant de prérogatives de puissance publique lorsque les entités publiques agissent en leur qualité d’autorité publique sont également considérées comme « non économiques ».</w:t>
      </w:r>
    </w:p>
    <w:p w14:paraId="39CE3E41" w14:textId="77777777" w:rsidR="00470C4B" w:rsidRDefault="00FA3D7B" w:rsidP="00E16C3F">
      <w:pPr>
        <w:jc w:val="both"/>
      </w:pPr>
      <w:r w:rsidRPr="00FA3D7B">
        <w:t xml:space="preserve"> </w:t>
      </w:r>
    </w:p>
    <w:p w14:paraId="0D5BDB4C" w14:textId="27FD41B3" w:rsidR="00A9717E" w:rsidRDefault="00FA3D7B" w:rsidP="00E16C3F">
      <w:pPr>
        <w:jc w:val="both"/>
      </w:pPr>
      <w:r w:rsidRPr="00FA3D7B">
        <w:t xml:space="preserve">L’aide sera apportée exclusivement sous forme de subvention, avec un taux d’aide maximum qui sera soit de 50% des coûts complets, soit de 100% des couts marginaux retenus. </w:t>
      </w:r>
    </w:p>
    <w:p w14:paraId="3BBA4CA0" w14:textId="77777777" w:rsidR="00A9717E" w:rsidRDefault="00A9717E" w:rsidP="00E16C3F">
      <w:pPr>
        <w:jc w:val="both"/>
      </w:pPr>
    </w:p>
    <w:p w14:paraId="5B0FC8DE" w14:textId="17F8B812" w:rsidR="009153A5" w:rsidRDefault="00FA3D7B" w:rsidP="00E16C3F">
      <w:pPr>
        <w:jc w:val="both"/>
      </w:pPr>
      <w:r w:rsidRPr="00FA3D7B">
        <w:t>Le taux et le montant de l’aide accordée respectent les intensités maximales des aides telles que fixées par la réglementation européenne applicable aux aides d’Etat.</w:t>
      </w:r>
    </w:p>
    <w:p w14:paraId="2A8FB916" w14:textId="77777777" w:rsidR="00A5680F" w:rsidRDefault="00A5680F" w:rsidP="00E16C3F">
      <w:pPr>
        <w:jc w:val="both"/>
      </w:pPr>
    </w:p>
    <w:p w14:paraId="61C4BCC2" w14:textId="77777777" w:rsidR="00A5680F" w:rsidRDefault="00A5680F" w:rsidP="00E16C3F">
      <w:pPr>
        <w:jc w:val="both"/>
      </w:pPr>
    </w:p>
    <w:p w14:paraId="38CB5146" w14:textId="367CA50A" w:rsidR="00BC1AA6" w:rsidRDefault="00B17F11" w:rsidP="00E16C3F">
      <w:pPr>
        <w:pStyle w:val="Paragraphedeliste"/>
        <w:numPr>
          <w:ilvl w:val="1"/>
          <w:numId w:val="2"/>
        </w:numPr>
        <w:jc w:val="both"/>
      </w:pPr>
      <w:r>
        <w:t xml:space="preserve">Engagement des bénéficiaires </w:t>
      </w:r>
    </w:p>
    <w:p w14:paraId="528BE0B7" w14:textId="77777777" w:rsidR="00E25E42" w:rsidRDefault="00E25E42" w:rsidP="00E16C3F">
      <w:pPr>
        <w:spacing w:before="40" w:after="40"/>
        <w:jc w:val="both"/>
      </w:pPr>
    </w:p>
    <w:p w14:paraId="7050582E" w14:textId="18C82DA5" w:rsidR="00E25E42" w:rsidRDefault="00E25E42" w:rsidP="00E16C3F">
      <w:pPr>
        <w:spacing w:before="40" w:after="40"/>
        <w:jc w:val="both"/>
      </w:pPr>
      <w:r>
        <w:t>Maintien de l'activité financée sur le territoire régional pendant 5 ans</w:t>
      </w:r>
    </w:p>
    <w:p w14:paraId="5553C503" w14:textId="77777777" w:rsidR="00E25E42" w:rsidRDefault="00E25E42" w:rsidP="000A6E48">
      <w:pPr>
        <w:pStyle w:val="Paragraphedeliste"/>
        <w:numPr>
          <w:ilvl w:val="0"/>
          <w:numId w:val="11"/>
        </w:numPr>
        <w:spacing w:before="40" w:after="40"/>
        <w:contextualSpacing w:val="0"/>
        <w:jc w:val="both"/>
      </w:pPr>
      <w:r>
        <w:t>Reporting économique annuel et réunion de suivi pendant la durée du projet</w:t>
      </w:r>
    </w:p>
    <w:p w14:paraId="09B9D7F0" w14:textId="77777777" w:rsidR="00E25E42" w:rsidRDefault="00E25E42" w:rsidP="000A6E48">
      <w:pPr>
        <w:pStyle w:val="Paragraphedeliste"/>
        <w:numPr>
          <w:ilvl w:val="0"/>
          <w:numId w:val="11"/>
        </w:numPr>
        <w:spacing w:before="40" w:after="40"/>
        <w:contextualSpacing w:val="0"/>
        <w:jc w:val="both"/>
      </w:pPr>
      <w:r>
        <w:t>Information de la Région en cas de changement capitalistique significatif</w:t>
      </w:r>
    </w:p>
    <w:p w14:paraId="399DCF7B" w14:textId="77777777" w:rsidR="00E25E42" w:rsidRDefault="00E25E42" w:rsidP="000A6E48">
      <w:pPr>
        <w:pStyle w:val="Paragraphedeliste"/>
        <w:numPr>
          <w:ilvl w:val="0"/>
          <w:numId w:val="11"/>
        </w:numPr>
        <w:spacing w:before="40" w:after="40"/>
        <w:contextualSpacing w:val="0"/>
        <w:jc w:val="both"/>
      </w:pPr>
      <w:r>
        <w:t>Communication sur le soutien régional (visibilité forte)</w:t>
      </w:r>
    </w:p>
    <w:p w14:paraId="762D6B7C" w14:textId="77777777" w:rsidR="00E25E42" w:rsidRDefault="00E25E42" w:rsidP="000A6E48">
      <w:pPr>
        <w:pStyle w:val="Paragraphedeliste"/>
        <w:numPr>
          <w:ilvl w:val="0"/>
          <w:numId w:val="11"/>
        </w:numPr>
        <w:spacing w:before="40" w:after="40"/>
        <w:contextualSpacing w:val="0"/>
        <w:jc w:val="both"/>
      </w:pPr>
      <w:r>
        <w:t>Volet RSE pour les grandes entreprises et ETI</w:t>
      </w:r>
    </w:p>
    <w:p w14:paraId="47817107" w14:textId="77777777" w:rsidR="00E25E42" w:rsidRDefault="00E25E42" w:rsidP="000A6E48">
      <w:pPr>
        <w:pStyle w:val="Paragraphedeliste"/>
        <w:numPr>
          <w:ilvl w:val="0"/>
          <w:numId w:val="11"/>
        </w:numPr>
        <w:spacing w:before="40" w:after="40"/>
        <w:contextualSpacing w:val="0"/>
        <w:jc w:val="both"/>
      </w:pPr>
      <w:r>
        <w:t>Fourniture d'un accord de consortium avec répartition de la propriété intellectuelle avant le vote en commission permanente</w:t>
      </w:r>
    </w:p>
    <w:p w14:paraId="4D4B8422" w14:textId="77777777" w:rsidR="00E25E42" w:rsidRDefault="00E25E42" w:rsidP="00E16C3F">
      <w:pPr>
        <w:jc w:val="both"/>
      </w:pPr>
    </w:p>
    <w:p w14:paraId="70055BA8" w14:textId="77777777" w:rsidR="00E25E42" w:rsidRDefault="00E25E42" w:rsidP="00E16C3F">
      <w:pPr>
        <w:jc w:val="both"/>
      </w:pPr>
    </w:p>
    <w:p w14:paraId="303C7D35" w14:textId="77777777" w:rsidR="000A6E48" w:rsidRDefault="000A6E48" w:rsidP="00E16C3F">
      <w:pPr>
        <w:jc w:val="both"/>
      </w:pPr>
    </w:p>
    <w:p w14:paraId="506AE6B4" w14:textId="77777777" w:rsidR="000A6E48" w:rsidRDefault="000A6E48" w:rsidP="00E16C3F">
      <w:pPr>
        <w:jc w:val="both"/>
      </w:pPr>
    </w:p>
    <w:p w14:paraId="7845809E" w14:textId="3A4D875E" w:rsidR="00B17F11" w:rsidRDefault="00B17F11" w:rsidP="00E16C3F">
      <w:pPr>
        <w:pStyle w:val="Paragraphedeliste"/>
        <w:numPr>
          <w:ilvl w:val="1"/>
          <w:numId w:val="2"/>
        </w:numPr>
        <w:jc w:val="both"/>
      </w:pPr>
      <w:r>
        <w:t xml:space="preserve">Critères de sélection </w:t>
      </w:r>
    </w:p>
    <w:p w14:paraId="42772895" w14:textId="77777777" w:rsidR="00EA3EB9" w:rsidRDefault="00EA3EB9" w:rsidP="00E16C3F">
      <w:pPr>
        <w:jc w:val="both"/>
      </w:pPr>
    </w:p>
    <w:p w14:paraId="7FB074CF" w14:textId="77777777" w:rsidR="00266B44" w:rsidRDefault="006C3CD2" w:rsidP="00E16C3F">
      <w:pPr>
        <w:jc w:val="both"/>
      </w:pPr>
      <w:r>
        <w:t>Les projets, en plus des différents critères d’éligibilité</w:t>
      </w:r>
      <w:r w:rsidR="00FD5B95">
        <w:t>s</w:t>
      </w:r>
      <w:r w:rsidR="00266B44">
        <w:t xml:space="preserve"> et de la recevabilité administrative</w:t>
      </w:r>
      <w:r>
        <w:t xml:space="preserve">, feront l’objet </w:t>
      </w:r>
      <w:r w:rsidR="0040054D">
        <w:t xml:space="preserve">d’une </w:t>
      </w:r>
      <w:r w:rsidR="003E1298">
        <w:t xml:space="preserve">analyse approfondie. </w:t>
      </w:r>
    </w:p>
    <w:p w14:paraId="14AB55E4" w14:textId="77777777" w:rsidR="00266B44" w:rsidRDefault="00266B44" w:rsidP="00E16C3F">
      <w:pPr>
        <w:jc w:val="both"/>
      </w:pPr>
    </w:p>
    <w:p w14:paraId="549A9D34" w14:textId="2F7E2056" w:rsidR="00EA3EB9" w:rsidRDefault="003E1298" w:rsidP="00E16C3F">
      <w:pPr>
        <w:jc w:val="both"/>
      </w:pPr>
      <w:r>
        <w:t>L’instruction des dossiers est conduite par l</w:t>
      </w:r>
      <w:r w:rsidR="00BE2EC8">
        <w:t>a Région Île-de-France dans le cadre d’une procédure respectant l’égalité de</w:t>
      </w:r>
      <w:r w:rsidR="00514B64">
        <w:t xml:space="preserve"> traitement des candidats. </w:t>
      </w:r>
      <w:r w:rsidR="00514B64" w:rsidRPr="00514B64">
        <w:t>Elle peut faire appel autant que de besoin à une audition des porteurs et à des expertises externes et internes à l’administration de l’Etat et de la Région de façon à éclairer les instances décisionnelles, sous réserve du respect de la confidentialité.</w:t>
      </w:r>
    </w:p>
    <w:p w14:paraId="75A90255" w14:textId="77777777" w:rsidR="00EC1793" w:rsidRDefault="00EC1793" w:rsidP="00E16C3F">
      <w:pPr>
        <w:jc w:val="both"/>
      </w:pPr>
    </w:p>
    <w:p w14:paraId="561D395B" w14:textId="77777777" w:rsidR="00823A3A" w:rsidRDefault="00823A3A" w:rsidP="00E16C3F">
      <w:pPr>
        <w:jc w:val="both"/>
      </w:pPr>
    </w:p>
    <w:p w14:paraId="1C8FEFF3" w14:textId="663739FC" w:rsidR="00823A3A" w:rsidRDefault="00823A3A" w:rsidP="00E16C3F">
      <w:pPr>
        <w:jc w:val="both"/>
      </w:pPr>
      <w:r>
        <w:t xml:space="preserve">Les critères principaux retenus pour la sélection des bénéficiaires sont les suivants </w:t>
      </w:r>
    </w:p>
    <w:p w14:paraId="514AA289" w14:textId="14DBA468" w:rsidR="00FD2221" w:rsidRDefault="00FD2221" w:rsidP="001C66A9">
      <w:pPr>
        <w:pStyle w:val="Paragraphedeliste"/>
        <w:numPr>
          <w:ilvl w:val="0"/>
          <w:numId w:val="10"/>
        </w:numPr>
        <w:spacing w:before="40" w:after="40"/>
        <w:contextualSpacing w:val="0"/>
        <w:jc w:val="both"/>
      </w:pPr>
      <w:r>
        <w:t>Excellence technologique : degré de rupture et niveau de maturité (TRL</w:t>
      </w:r>
      <w:r w:rsidR="004C36C8">
        <w:t xml:space="preserve"> entre </w:t>
      </w:r>
      <w:r w:rsidR="7B2ACCC9">
        <w:t>4</w:t>
      </w:r>
      <w:r w:rsidR="004C36C8">
        <w:t xml:space="preserve"> et 8</w:t>
      </w:r>
      <w:r>
        <w:t>)</w:t>
      </w:r>
    </w:p>
    <w:p w14:paraId="374A46EC" w14:textId="77777777" w:rsidR="00FD2221" w:rsidRDefault="00FD2221" w:rsidP="001C66A9">
      <w:pPr>
        <w:pStyle w:val="Paragraphedeliste"/>
        <w:numPr>
          <w:ilvl w:val="0"/>
          <w:numId w:val="10"/>
        </w:numPr>
        <w:spacing w:before="40" w:after="40"/>
        <w:contextualSpacing w:val="0"/>
        <w:jc w:val="both"/>
      </w:pPr>
      <w:r>
        <w:t>Retombées économiques régionales : création/maintien d'emplois, perspectives industrielles</w:t>
      </w:r>
    </w:p>
    <w:p w14:paraId="378FADD1" w14:textId="77777777" w:rsidR="00FD2221" w:rsidRDefault="00FD2221" w:rsidP="001C66A9">
      <w:pPr>
        <w:pStyle w:val="Paragraphedeliste"/>
        <w:numPr>
          <w:ilvl w:val="0"/>
          <w:numId w:val="10"/>
        </w:numPr>
        <w:spacing w:before="40" w:after="40"/>
        <w:contextualSpacing w:val="0"/>
        <w:jc w:val="both"/>
      </w:pPr>
      <w:r>
        <w:lastRenderedPageBreak/>
        <w:t>Propriété intellectuelle générée et rayonnement scientifique</w:t>
      </w:r>
    </w:p>
    <w:p w14:paraId="2F0D26B1" w14:textId="68117565" w:rsidR="00A2560E" w:rsidRDefault="00A2560E" w:rsidP="001C66A9">
      <w:pPr>
        <w:pStyle w:val="Paragraphedeliste"/>
        <w:numPr>
          <w:ilvl w:val="0"/>
          <w:numId w:val="10"/>
        </w:numPr>
        <w:spacing w:before="40" w:after="40"/>
        <w:contextualSpacing w:val="0"/>
        <w:jc w:val="both"/>
      </w:pPr>
      <w:r>
        <w:t xml:space="preserve">Potentiel structurant et capacité d’entraînement du projet pour une/des </w:t>
      </w:r>
      <w:r w:rsidR="000A4AE9">
        <w:t>filières stratégiques</w:t>
      </w:r>
    </w:p>
    <w:p w14:paraId="1E0BFBDA" w14:textId="77777777" w:rsidR="00FD2221" w:rsidRDefault="00FD2221" w:rsidP="001C66A9">
      <w:pPr>
        <w:pStyle w:val="Paragraphedeliste"/>
        <w:numPr>
          <w:ilvl w:val="0"/>
          <w:numId w:val="10"/>
        </w:numPr>
        <w:spacing w:before="40" w:after="40"/>
        <w:contextualSpacing w:val="0"/>
        <w:jc w:val="both"/>
      </w:pPr>
      <w:r>
        <w:t>Opportunité commerciale et stratégie différenciante</w:t>
      </w:r>
    </w:p>
    <w:p w14:paraId="4CC99444" w14:textId="77777777" w:rsidR="00FD2221" w:rsidRDefault="00FD2221" w:rsidP="001C66A9">
      <w:pPr>
        <w:pStyle w:val="Paragraphedeliste"/>
        <w:numPr>
          <w:ilvl w:val="0"/>
          <w:numId w:val="10"/>
        </w:numPr>
        <w:spacing w:before="40" w:after="40"/>
        <w:contextualSpacing w:val="0"/>
        <w:jc w:val="both"/>
      </w:pPr>
      <w:r>
        <w:t>Qualité du consortium et gouvernance</w:t>
      </w:r>
    </w:p>
    <w:p w14:paraId="0A915E67" w14:textId="77777777" w:rsidR="00991CB6" w:rsidRDefault="001E26A6" w:rsidP="00991CB6">
      <w:pPr>
        <w:pStyle w:val="Paragraphedeliste"/>
        <w:numPr>
          <w:ilvl w:val="0"/>
          <w:numId w:val="10"/>
        </w:numPr>
        <w:spacing w:before="40" w:after="40"/>
        <w:contextualSpacing w:val="0"/>
        <w:jc w:val="both"/>
      </w:pPr>
      <w:r>
        <w:t xml:space="preserve">Impact environnemental </w:t>
      </w:r>
    </w:p>
    <w:p w14:paraId="6C49C5C6" w14:textId="5787A9FE" w:rsidR="00FD2221" w:rsidRDefault="00FD2221" w:rsidP="00991CB6">
      <w:pPr>
        <w:pStyle w:val="Paragraphedeliste"/>
        <w:numPr>
          <w:ilvl w:val="0"/>
          <w:numId w:val="10"/>
        </w:numPr>
        <w:spacing w:before="40" w:after="40"/>
        <w:contextualSpacing w:val="0"/>
        <w:jc w:val="both"/>
      </w:pPr>
      <w:r>
        <w:t>Critères additionnels : labellisation pôle, participation de laboratoires, soutien à l'emploi scientifique (doctorants).</w:t>
      </w:r>
    </w:p>
    <w:p w14:paraId="646EFF6A" w14:textId="11421831" w:rsidR="00266B44" w:rsidRDefault="001C57A2" w:rsidP="00E16C3F">
      <w:pPr>
        <w:spacing w:before="40" w:after="40"/>
        <w:jc w:val="both"/>
      </w:pPr>
      <w:r>
        <w:t>Le jury</w:t>
      </w:r>
      <w:r w:rsidR="00266B44">
        <w:t xml:space="preserve"> </w:t>
      </w:r>
      <w:r w:rsidR="00637803">
        <w:t xml:space="preserve">de </w:t>
      </w:r>
      <w:r>
        <w:t>sélection</w:t>
      </w:r>
      <w:r w:rsidR="00637803">
        <w:t xml:space="preserve"> appréciera la cohérence, la robustesse et le caractère structurant des projets, en lien avec les priorités régionale</w:t>
      </w:r>
      <w:r>
        <w:t xml:space="preserve">s. </w:t>
      </w:r>
    </w:p>
    <w:p w14:paraId="2F83BF97" w14:textId="77777777" w:rsidR="001C57A2" w:rsidRDefault="001C57A2" w:rsidP="00E16C3F">
      <w:pPr>
        <w:spacing w:before="40" w:after="40"/>
        <w:jc w:val="both"/>
      </w:pPr>
    </w:p>
    <w:p w14:paraId="6F9C4111" w14:textId="77777777" w:rsidR="00EA3EB9" w:rsidRDefault="00EA3EB9" w:rsidP="00E16C3F">
      <w:pPr>
        <w:jc w:val="both"/>
      </w:pPr>
    </w:p>
    <w:p w14:paraId="46798B14" w14:textId="49CEDACE" w:rsidR="00982EFE" w:rsidRDefault="00982EFE" w:rsidP="00E16C3F">
      <w:pPr>
        <w:pStyle w:val="Paragraphedeliste"/>
        <w:numPr>
          <w:ilvl w:val="1"/>
          <w:numId w:val="2"/>
        </w:numPr>
        <w:jc w:val="both"/>
      </w:pPr>
      <w:r>
        <w:t xml:space="preserve">Jury de sélection </w:t>
      </w:r>
    </w:p>
    <w:p w14:paraId="2464B895" w14:textId="77777777" w:rsidR="008F716E" w:rsidRDefault="008F716E" w:rsidP="00E16C3F">
      <w:pPr>
        <w:jc w:val="both"/>
      </w:pPr>
    </w:p>
    <w:p w14:paraId="4492311F" w14:textId="5605186F" w:rsidR="00E859D5" w:rsidRPr="002F65F8" w:rsidRDefault="00E859D5" w:rsidP="00E16C3F">
      <w:pPr>
        <w:jc w:val="both"/>
        <w:rPr>
          <w:color w:val="000000" w:themeColor="text1"/>
        </w:rPr>
      </w:pPr>
      <w:r w:rsidRPr="002F65F8">
        <w:rPr>
          <w:color w:val="000000" w:themeColor="text1"/>
        </w:rPr>
        <w:t xml:space="preserve">Après une phase d’instruction approfondie, </w:t>
      </w:r>
      <w:r w:rsidR="002F65F8" w:rsidRPr="002F65F8">
        <w:rPr>
          <w:color w:val="000000" w:themeColor="text1"/>
        </w:rPr>
        <w:t>un jury régional</w:t>
      </w:r>
      <w:r w:rsidR="00CA3EB3" w:rsidRPr="002F65F8">
        <w:rPr>
          <w:color w:val="000000" w:themeColor="text1"/>
        </w:rPr>
        <w:t xml:space="preserve"> </w:t>
      </w:r>
      <w:r w:rsidR="007C60ED" w:rsidRPr="002F65F8">
        <w:rPr>
          <w:color w:val="000000" w:themeColor="text1"/>
        </w:rPr>
        <w:t>se réunira pour délibérer des projets sélectionnés</w:t>
      </w:r>
      <w:r w:rsidR="00AB2136" w:rsidRPr="002F65F8">
        <w:rPr>
          <w:color w:val="000000" w:themeColor="text1"/>
        </w:rPr>
        <w:t xml:space="preserve">. </w:t>
      </w:r>
    </w:p>
    <w:p w14:paraId="3621E6A2" w14:textId="77777777" w:rsidR="008F716E" w:rsidRDefault="008F716E" w:rsidP="00E16C3F">
      <w:pPr>
        <w:jc w:val="both"/>
      </w:pPr>
    </w:p>
    <w:p w14:paraId="3C73078D" w14:textId="77777777" w:rsidR="00962AD7" w:rsidRDefault="00962AD7" w:rsidP="00E16C3F">
      <w:pPr>
        <w:jc w:val="both"/>
      </w:pPr>
    </w:p>
    <w:p w14:paraId="1BB7011D" w14:textId="17EF3E55" w:rsidR="00047C18" w:rsidRDefault="00047C18" w:rsidP="00E16C3F">
      <w:pPr>
        <w:pStyle w:val="Paragraphedeliste"/>
        <w:numPr>
          <w:ilvl w:val="1"/>
          <w:numId w:val="2"/>
        </w:numPr>
        <w:jc w:val="both"/>
      </w:pPr>
      <w:r>
        <w:t xml:space="preserve">Le dossier de candidature </w:t>
      </w:r>
    </w:p>
    <w:p w14:paraId="6861E98C" w14:textId="77777777" w:rsidR="001C57A2" w:rsidRDefault="001C57A2" w:rsidP="00E16C3F">
      <w:pPr>
        <w:jc w:val="both"/>
      </w:pPr>
    </w:p>
    <w:p w14:paraId="6795A0CF" w14:textId="11E207E1" w:rsidR="001C57A2" w:rsidRDefault="00135C3B" w:rsidP="00E16C3F">
      <w:pPr>
        <w:jc w:val="both"/>
      </w:pPr>
      <w:r>
        <w:t xml:space="preserve">Le dossier de candidature est à déposer sur mesdémarches et doit comporter les éléments suivants : </w:t>
      </w:r>
    </w:p>
    <w:p w14:paraId="03031BCF" w14:textId="5237EDD4" w:rsidR="00135C3B" w:rsidRDefault="00135C3B" w:rsidP="00E16C3F">
      <w:pPr>
        <w:pStyle w:val="Paragraphedeliste"/>
        <w:numPr>
          <w:ilvl w:val="0"/>
          <w:numId w:val="6"/>
        </w:numPr>
        <w:jc w:val="both"/>
      </w:pPr>
      <w:r>
        <w:t xml:space="preserve">Une description du projet (30 pages maximum hors annexes). </w:t>
      </w:r>
    </w:p>
    <w:p w14:paraId="7129D761" w14:textId="34CDFD5F" w:rsidR="00197E7D" w:rsidRDefault="00197E7D" w:rsidP="00E16C3F">
      <w:pPr>
        <w:pStyle w:val="Paragraphedeliste"/>
        <w:numPr>
          <w:ilvl w:val="1"/>
          <w:numId w:val="6"/>
        </w:numPr>
        <w:jc w:val="both"/>
      </w:pPr>
      <w:r w:rsidRPr="00197E7D">
        <w:t xml:space="preserve">une description de la solution envisagée, de ses besoins d’investissements en lien avec les besoins du marché cible ainsi que son inscription dans la feuille de route des partenaires </w:t>
      </w:r>
      <w:r w:rsidR="0026063C">
        <w:t>(un document des attendus sera disponible sur mesdémarches)</w:t>
      </w:r>
      <w:r w:rsidRPr="00197E7D">
        <w:t xml:space="preserve"> </w:t>
      </w:r>
    </w:p>
    <w:p w14:paraId="57C9AC90" w14:textId="6EEE0400" w:rsidR="00197E7D" w:rsidRDefault="00197E7D" w:rsidP="00E16C3F">
      <w:pPr>
        <w:pStyle w:val="Paragraphedeliste"/>
        <w:numPr>
          <w:ilvl w:val="1"/>
          <w:numId w:val="6"/>
        </w:numPr>
        <w:jc w:val="both"/>
      </w:pPr>
      <w:r w:rsidRPr="00197E7D">
        <w:t>une description du degré de rupture/d’innovation intégrant l’état de l’art et la plus</w:t>
      </w:r>
      <w:r>
        <w:t xml:space="preserve"> </w:t>
      </w:r>
      <w:r w:rsidRPr="00197E7D">
        <w:t xml:space="preserve">value de l’innovation décrite et l’inscription de cette dernière dans la thématique régionale ;  </w:t>
      </w:r>
    </w:p>
    <w:p w14:paraId="23C13C30" w14:textId="77777777" w:rsidR="00197E7D" w:rsidRDefault="00197E7D" w:rsidP="00E16C3F">
      <w:pPr>
        <w:pStyle w:val="Paragraphedeliste"/>
        <w:numPr>
          <w:ilvl w:val="1"/>
          <w:numId w:val="6"/>
        </w:numPr>
        <w:jc w:val="both"/>
      </w:pPr>
      <w:r w:rsidRPr="00197E7D">
        <w:t xml:space="preserve">la politique de propriété intellectuelle envisagée ; </w:t>
      </w:r>
    </w:p>
    <w:p w14:paraId="6C76F147" w14:textId="61C738C1" w:rsidR="00197E7D" w:rsidRDefault="00197E7D" w:rsidP="00E16C3F">
      <w:pPr>
        <w:pStyle w:val="Paragraphedeliste"/>
        <w:numPr>
          <w:ilvl w:val="1"/>
          <w:numId w:val="6"/>
        </w:numPr>
        <w:jc w:val="both"/>
      </w:pPr>
      <w:r w:rsidRPr="00197E7D">
        <w:t xml:space="preserve">un calendrier prévisionnel du projet : présentation des premiers objectifs à atteindre dans une période de </w:t>
      </w:r>
      <w:r>
        <w:t xml:space="preserve">24 à </w:t>
      </w:r>
      <w:r w:rsidR="004635EC">
        <w:t>4</w:t>
      </w:r>
      <w:r w:rsidR="006F469B">
        <w:t>8</w:t>
      </w:r>
      <w:r>
        <w:t xml:space="preserve"> mois</w:t>
      </w:r>
      <w:r w:rsidRPr="00197E7D">
        <w:t xml:space="preserve"> pour valider la pertinence du projet et mettant en avant les retombées économiques et les emplois potentiels générés sur le territoire régional par le projet ;</w:t>
      </w:r>
    </w:p>
    <w:p w14:paraId="4742C101" w14:textId="5045DD93" w:rsidR="00135C3B" w:rsidRDefault="00463A0B" w:rsidP="00E16C3F">
      <w:pPr>
        <w:pStyle w:val="Paragraphedeliste"/>
        <w:numPr>
          <w:ilvl w:val="0"/>
          <w:numId w:val="6"/>
        </w:numPr>
        <w:jc w:val="both"/>
      </w:pPr>
      <w:r>
        <w:t>L</w:t>
      </w:r>
      <w:r w:rsidRPr="00463A0B">
        <w:t>e budget prévisionnel des dépenses de chacun des partenaires selon le modèle d’annexe financière à compléter, accompagné d’une description précise de l’emploi des fonds publics envisagé. Les dépenses éligibles telles que décrites au 2.4 sont internes ou externes, HT directement liées à l’ensemble des travaux intégrés au projet</w:t>
      </w:r>
      <w:r>
        <w:t xml:space="preserve">. </w:t>
      </w:r>
    </w:p>
    <w:p w14:paraId="78C6B377" w14:textId="6F8F90F3" w:rsidR="00524F93" w:rsidRDefault="00524F93" w:rsidP="00E16C3F">
      <w:pPr>
        <w:pStyle w:val="Paragraphedeliste"/>
        <w:numPr>
          <w:ilvl w:val="0"/>
          <w:numId w:val="6"/>
        </w:numPr>
        <w:jc w:val="both"/>
      </w:pPr>
      <w:r>
        <w:t xml:space="preserve">Un ensemble de documents administratifs pour les bénéficiaires </w:t>
      </w:r>
    </w:p>
    <w:p w14:paraId="52700520" w14:textId="5523C26F" w:rsidR="00524F93" w:rsidRDefault="00524F93" w:rsidP="00E16C3F">
      <w:pPr>
        <w:pStyle w:val="Paragraphedeliste"/>
        <w:numPr>
          <w:ilvl w:val="1"/>
          <w:numId w:val="6"/>
        </w:numPr>
        <w:jc w:val="both"/>
      </w:pPr>
      <w:r>
        <w:t xml:space="preserve">Fiches de présentation pour chacun des partenaires </w:t>
      </w:r>
    </w:p>
    <w:p w14:paraId="15F3EE17" w14:textId="77777777" w:rsidR="00F45A3B" w:rsidRDefault="00F45A3B" w:rsidP="00E16C3F">
      <w:pPr>
        <w:pStyle w:val="Paragraphedeliste"/>
        <w:numPr>
          <w:ilvl w:val="1"/>
          <w:numId w:val="6"/>
        </w:numPr>
        <w:jc w:val="both"/>
      </w:pPr>
      <w:r w:rsidRPr="00F45A3B">
        <w:t xml:space="preserve">un RIB pour chaque partenaire ; </w:t>
      </w:r>
    </w:p>
    <w:p w14:paraId="1F3DBEF3" w14:textId="77777777" w:rsidR="00F45A3B" w:rsidRDefault="00F45A3B" w:rsidP="00E16C3F">
      <w:pPr>
        <w:pStyle w:val="Paragraphedeliste"/>
        <w:numPr>
          <w:ilvl w:val="1"/>
          <w:numId w:val="6"/>
        </w:numPr>
        <w:jc w:val="both"/>
      </w:pPr>
      <w:r w:rsidRPr="00F45A3B">
        <w:t xml:space="preserve">le Kbis, les statuts des partenaires du consortium et les tables de capitalisation signées pour chaque partenaire entreprise ;  </w:t>
      </w:r>
    </w:p>
    <w:p w14:paraId="43109AE8" w14:textId="77777777" w:rsidR="00F45A3B" w:rsidRDefault="00F45A3B" w:rsidP="00E16C3F">
      <w:pPr>
        <w:pStyle w:val="Paragraphedeliste"/>
        <w:numPr>
          <w:ilvl w:val="1"/>
          <w:numId w:val="6"/>
        </w:numPr>
        <w:jc w:val="both"/>
      </w:pPr>
      <w:r w:rsidRPr="00F45A3B">
        <w:t xml:space="preserve">la liste des aides publiques déjà perçues ces 3 dernières années ou en cours de demande/dépôt par chaque bénéficiaire ; </w:t>
      </w:r>
    </w:p>
    <w:p w14:paraId="1CEDB57D" w14:textId="6DBEF695" w:rsidR="004F0249" w:rsidRDefault="00F45A3B" w:rsidP="00E16C3F">
      <w:pPr>
        <w:pStyle w:val="Paragraphedeliste"/>
        <w:numPr>
          <w:ilvl w:val="1"/>
          <w:numId w:val="6"/>
        </w:numPr>
        <w:jc w:val="both"/>
      </w:pPr>
      <w:r w:rsidRPr="00F45A3B">
        <w:t xml:space="preserve">Pour les partenaires entreprises, les trois dernières liasses fiscales complètes si elles existent, ou les trois derniers bilans et comptes de </w:t>
      </w:r>
      <w:r w:rsidRPr="00F45A3B">
        <w:lastRenderedPageBreak/>
        <w:t xml:space="preserve">résultats approuvés par l’assemblée générale ainsi que le rapport du commissaire aux comptes. A défaut, les statuts de constitution de l’entreprise permettant de juger des apports en fonds propres ; o la pièce d’identité du représentant légal pour chaque partenaire et des personnes physiques détenant plus de 25 % du </w:t>
      </w:r>
      <w:r w:rsidR="004F0249" w:rsidRPr="00F45A3B">
        <w:t>capital pour</w:t>
      </w:r>
      <w:r w:rsidRPr="00F45A3B">
        <w:t xml:space="preserve"> chacun des partenaires entreprises  </w:t>
      </w:r>
    </w:p>
    <w:p w14:paraId="4B0A9D5C" w14:textId="759B760F" w:rsidR="004F0249" w:rsidRDefault="004F0249" w:rsidP="00E16C3F">
      <w:pPr>
        <w:pStyle w:val="Paragraphedeliste"/>
        <w:numPr>
          <w:ilvl w:val="1"/>
          <w:numId w:val="6"/>
        </w:numPr>
        <w:jc w:val="both"/>
      </w:pPr>
      <w:r>
        <w:t>p</w:t>
      </w:r>
      <w:r w:rsidR="00F45A3B" w:rsidRPr="00F45A3B">
        <w:t xml:space="preserve">our chaque partenaire entreprise, dans le cadre d’un groupe, l’organigramme du groupe précisant le nombre de salariés de chaque entité, le pourcentage de détention de celles-ci par la tête de groupe ainsi que le détail de la détention capitalistique des entités que détient le bénéficiaire demandeur ; </w:t>
      </w:r>
    </w:p>
    <w:p w14:paraId="1E821468" w14:textId="77777777" w:rsidR="004F0249" w:rsidRDefault="00F45A3B" w:rsidP="00E16C3F">
      <w:pPr>
        <w:pStyle w:val="Paragraphedeliste"/>
        <w:numPr>
          <w:ilvl w:val="1"/>
          <w:numId w:val="6"/>
        </w:numPr>
        <w:jc w:val="both"/>
      </w:pPr>
      <w:r w:rsidRPr="00F45A3B">
        <w:t xml:space="preserve">une liste des projets de la même thématique déjà soutenus par les pouvoirs publics dans lequel le consortium est engagé ; </w:t>
      </w:r>
    </w:p>
    <w:p w14:paraId="55D154A6" w14:textId="45851BA3" w:rsidR="00524F93" w:rsidRDefault="00F45A3B" w:rsidP="00E16C3F">
      <w:pPr>
        <w:pStyle w:val="Paragraphedeliste"/>
        <w:numPr>
          <w:ilvl w:val="1"/>
          <w:numId w:val="6"/>
        </w:numPr>
        <w:jc w:val="both"/>
      </w:pPr>
      <w:r w:rsidRPr="00F45A3B">
        <w:t>le projet de l’accord de consortium.</w:t>
      </w:r>
    </w:p>
    <w:p w14:paraId="20C40E5D" w14:textId="77777777" w:rsidR="00463A0B" w:rsidRDefault="00463A0B" w:rsidP="00E16C3F">
      <w:pPr>
        <w:jc w:val="both"/>
      </w:pPr>
    </w:p>
    <w:p w14:paraId="43B726B9" w14:textId="77777777" w:rsidR="001C57A2" w:rsidRDefault="001C57A2" w:rsidP="00E16C3F">
      <w:pPr>
        <w:jc w:val="both"/>
      </w:pPr>
    </w:p>
    <w:p w14:paraId="4779F109" w14:textId="47C70017" w:rsidR="00047C18" w:rsidRDefault="00047C18" w:rsidP="00E16C3F">
      <w:pPr>
        <w:pStyle w:val="Paragraphedeliste"/>
        <w:numPr>
          <w:ilvl w:val="0"/>
          <w:numId w:val="2"/>
        </w:numPr>
        <w:jc w:val="both"/>
      </w:pPr>
      <w:r>
        <w:t xml:space="preserve">Mise en œuvre, suivi des projets et allocation des fonds </w:t>
      </w:r>
    </w:p>
    <w:p w14:paraId="13AA0C1B" w14:textId="77777777" w:rsidR="00F1004F" w:rsidRDefault="00F1004F" w:rsidP="00E16C3F">
      <w:pPr>
        <w:jc w:val="both"/>
      </w:pPr>
    </w:p>
    <w:p w14:paraId="43981F64" w14:textId="2D2B9F50" w:rsidR="00F1004F" w:rsidRDefault="003731B6" w:rsidP="00E16C3F">
      <w:pPr>
        <w:jc w:val="both"/>
      </w:pPr>
      <w:r>
        <w:t xml:space="preserve">Les crédits sont alloués par la Région Île-de-France qui en assure le conventionnement et la gestion. </w:t>
      </w:r>
    </w:p>
    <w:p w14:paraId="149B6F11" w14:textId="77777777" w:rsidR="009118E4" w:rsidRDefault="009118E4" w:rsidP="00E16C3F">
      <w:pPr>
        <w:jc w:val="both"/>
      </w:pPr>
    </w:p>
    <w:p w14:paraId="28FA7DF5" w14:textId="5D55B82D" w:rsidR="00F1004F" w:rsidRDefault="00F1004F" w:rsidP="00E16C3F">
      <w:pPr>
        <w:pStyle w:val="Paragraphedeliste"/>
        <w:numPr>
          <w:ilvl w:val="1"/>
          <w:numId w:val="2"/>
        </w:numPr>
        <w:jc w:val="both"/>
      </w:pPr>
      <w:r>
        <w:t xml:space="preserve">Taux de subvention </w:t>
      </w:r>
      <w:r w:rsidR="00AC279E">
        <w:t xml:space="preserve">et plafonnement </w:t>
      </w:r>
    </w:p>
    <w:p w14:paraId="19B3EA95" w14:textId="77777777" w:rsidR="004F6A03" w:rsidRDefault="004F6A03" w:rsidP="00E16C3F">
      <w:pPr>
        <w:jc w:val="both"/>
      </w:pPr>
    </w:p>
    <w:p w14:paraId="12F4E657" w14:textId="26D09723" w:rsidR="00CE7078" w:rsidRDefault="005173CE" w:rsidP="00E16C3F">
      <w:pPr>
        <w:jc w:val="both"/>
      </w:pPr>
      <w:r>
        <w:t xml:space="preserve">Le plafond </w:t>
      </w:r>
      <w:r w:rsidR="00D91220">
        <w:t>de subvention maximum est fixé à 2</w:t>
      </w:r>
      <w:r w:rsidR="0DED8943">
        <w:t>,5</w:t>
      </w:r>
      <w:r w:rsidR="00D91220">
        <w:t>M€</w:t>
      </w:r>
      <w:r w:rsidR="00162DE4">
        <w:t xml:space="preserve"> par projet. </w:t>
      </w:r>
    </w:p>
    <w:p w14:paraId="6434650E" w14:textId="77777777" w:rsidR="00CE7078" w:rsidRDefault="00CE7078" w:rsidP="00E16C3F">
      <w:pPr>
        <w:jc w:val="both"/>
      </w:pPr>
    </w:p>
    <w:p w14:paraId="5F35C1A5" w14:textId="77777777" w:rsidR="00CE7078" w:rsidRDefault="00CE7078" w:rsidP="00E16C3F">
      <w:pPr>
        <w:jc w:val="both"/>
      </w:pPr>
      <w:r w:rsidRPr="00CE7078">
        <w:t xml:space="preserve">La Région Île-de-France peut solliciter tout justificatif permettant d’apprécier la nature et le coût estimé des dépenses pour lesquelles la subvention est sollicitée. </w:t>
      </w:r>
    </w:p>
    <w:p w14:paraId="7FA488AA" w14:textId="77777777" w:rsidR="00CE7078" w:rsidRDefault="00CE7078" w:rsidP="00E16C3F">
      <w:pPr>
        <w:jc w:val="both"/>
      </w:pPr>
    </w:p>
    <w:p w14:paraId="55373D71" w14:textId="77777777" w:rsidR="00CE7078" w:rsidRDefault="00CE7078" w:rsidP="00E16C3F">
      <w:pPr>
        <w:jc w:val="both"/>
      </w:pPr>
      <w:r w:rsidRPr="00CE7078">
        <w:t xml:space="preserve">Les dépenses éligibles liées au projet sont prises en compte à dater de la date de dépôt du dossier de candidature. </w:t>
      </w:r>
    </w:p>
    <w:p w14:paraId="17574421" w14:textId="77777777" w:rsidR="00CE7078" w:rsidRDefault="00CE7078" w:rsidP="00E16C3F">
      <w:pPr>
        <w:jc w:val="both"/>
      </w:pPr>
    </w:p>
    <w:p w14:paraId="53F33303" w14:textId="11E4EB28" w:rsidR="00CE7078" w:rsidRDefault="00CE7078" w:rsidP="00E16C3F">
      <w:pPr>
        <w:jc w:val="both"/>
      </w:pPr>
      <w:r w:rsidRPr="00CE7078">
        <w:t xml:space="preserve">Le taux de subvention ne peut dépasser </w:t>
      </w:r>
      <w:r>
        <w:t>la limite des taux de subvention détaillés en 2.5.,</w:t>
      </w:r>
      <w:r w:rsidRPr="00CE7078">
        <w:t xml:space="preserve"> dans la limite des plafonds autorisés par les régimes d’aides et le règlement de minimis mobilisés.</w:t>
      </w:r>
    </w:p>
    <w:p w14:paraId="05442C04" w14:textId="77777777" w:rsidR="00AC279E" w:rsidRDefault="00AC279E" w:rsidP="00E16C3F">
      <w:pPr>
        <w:jc w:val="both"/>
      </w:pPr>
    </w:p>
    <w:p w14:paraId="5B5F579C" w14:textId="77777777" w:rsidR="00AC279E" w:rsidRDefault="00AC279E" w:rsidP="00E16C3F">
      <w:pPr>
        <w:jc w:val="both"/>
      </w:pPr>
    </w:p>
    <w:p w14:paraId="058F40C6" w14:textId="2AF63EDA" w:rsidR="00F1004F" w:rsidRDefault="00AC279E" w:rsidP="00E16C3F">
      <w:pPr>
        <w:pStyle w:val="Paragraphedeliste"/>
        <w:numPr>
          <w:ilvl w:val="1"/>
          <w:numId w:val="2"/>
        </w:numPr>
        <w:jc w:val="both"/>
      </w:pPr>
      <w:r>
        <w:t xml:space="preserve">Règles </w:t>
      </w:r>
      <w:r w:rsidR="00F1004F">
        <w:t xml:space="preserve">de cumul des aides </w:t>
      </w:r>
    </w:p>
    <w:p w14:paraId="4A8AD17B" w14:textId="77777777" w:rsidR="00A31A04" w:rsidRDefault="00A31A04" w:rsidP="00E16C3F">
      <w:pPr>
        <w:jc w:val="both"/>
      </w:pPr>
    </w:p>
    <w:p w14:paraId="3BCCB804" w14:textId="37BC36B0" w:rsidR="00A31A04" w:rsidRDefault="00A31A04" w:rsidP="00E16C3F">
      <w:pPr>
        <w:jc w:val="both"/>
      </w:pPr>
      <w:r w:rsidRPr="00A31A04">
        <w:t>Les dépenses faisant déjà l’objet d’un financement de la Région Île-de-France ne sont pas éligibles</w:t>
      </w:r>
      <w:r>
        <w:t xml:space="preserve">. </w:t>
      </w:r>
    </w:p>
    <w:p w14:paraId="0F84244F" w14:textId="77777777" w:rsidR="00A31A04" w:rsidRDefault="00A31A04" w:rsidP="00E16C3F">
      <w:pPr>
        <w:jc w:val="both"/>
      </w:pPr>
    </w:p>
    <w:p w14:paraId="02C03E5E" w14:textId="4A9349D4" w:rsidR="00F1004F" w:rsidRDefault="00A31A04" w:rsidP="00E16C3F">
      <w:pPr>
        <w:jc w:val="both"/>
      </w:pPr>
      <w:r w:rsidRPr="00A31A04">
        <w:t xml:space="preserve">L’aide régionale respecte les règles de cumul fixées par la réglementation européenne des aides d’Etat.  </w:t>
      </w:r>
    </w:p>
    <w:p w14:paraId="736F2B58" w14:textId="77777777" w:rsidR="00047C18" w:rsidRDefault="00047C18" w:rsidP="00E16C3F">
      <w:pPr>
        <w:jc w:val="both"/>
      </w:pPr>
    </w:p>
    <w:p w14:paraId="170E7745" w14:textId="52C6FC96" w:rsidR="00047C18" w:rsidRDefault="00047C18" w:rsidP="00E16C3F">
      <w:pPr>
        <w:pStyle w:val="Paragraphedeliste"/>
        <w:numPr>
          <w:ilvl w:val="0"/>
          <w:numId w:val="2"/>
        </w:numPr>
        <w:jc w:val="both"/>
      </w:pPr>
      <w:r>
        <w:t>Con</w:t>
      </w:r>
      <w:r w:rsidR="008135F0">
        <w:t xml:space="preserve">ventionnement et suivi des projets </w:t>
      </w:r>
    </w:p>
    <w:p w14:paraId="22F928A9" w14:textId="77777777" w:rsidR="008135F0" w:rsidRDefault="008135F0" w:rsidP="00E16C3F">
      <w:pPr>
        <w:jc w:val="both"/>
      </w:pPr>
    </w:p>
    <w:p w14:paraId="0D919099" w14:textId="7B837ACA" w:rsidR="008135F0" w:rsidRPr="00D73180" w:rsidRDefault="008135F0" w:rsidP="00E16C3F">
      <w:pPr>
        <w:jc w:val="both"/>
      </w:pPr>
      <w:r w:rsidRPr="00D73180">
        <w:t>Chaque bénéficiaire signe une convention uniquement avec la Région Île-de-</w:t>
      </w:r>
      <w:r w:rsidR="001E2CCA" w:rsidRPr="00D73180">
        <w:t xml:space="preserve">France. </w:t>
      </w:r>
    </w:p>
    <w:p w14:paraId="73A8F260" w14:textId="77777777" w:rsidR="001E2CCA" w:rsidRPr="00D73180" w:rsidRDefault="001E2CCA" w:rsidP="00E16C3F">
      <w:pPr>
        <w:jc w:val="both"/>
      </w:pPr>
    </w:p>
    <w:p w14:paraId="15C5EB3C" w14:textId="4EBE8935" w:rsidR="00CC7AC1" w:rsidRPr="00D73180" w:rsidRDefault="001E2CCA" w:rsidP="00E16C3F">
      <w:pPr>
        <w:jc w:val="both"/>
      </w:pPr>
      <w:r w:rsidRPr="00D73180">
        <w:t xml:space="preserve">Au travers de cette convention il s’engage à mettre en œuvre le projet, à effectuer les recrutements nécessaires, à prévenir la région des </w:t>
      </w:r>
      <w:r w:rsidR="00783F95" w:rsidRPr="00D73180">
        <w:t>éventuelles</w:t>
      </w:r>
      <w:r w:rsidRPr="00D73180">
        <w:t xml:space="preserve"> difficultés au projet</w:t>
      </w:r>
      <w:r w:rsidR="00BE2952" w:rsidRPr="00D73180">
        <w:t xml:space="preserve">. Il </w:t>
      </w:r>
      <w:r w:rsidR="00BE2952" w:rsidRPr="00D73180">
        <w:lastRenderedPageBreak/>
        <w:t xml:space="preserve">figurera les différents éléments financiers, de calendrier et de moment de la subvention. </w:t>
      </w:r>
    </w:p>
    <w:p w14:paraId="3742922B" w14:textId="77777777" w:rsidR="00CC7AC1" w:rsidRPr="00D73180" w:rsidRDefault="00CC7AC1" w:rsidP="00E16C3F">
      <w:pPr>
        <w:jc w:val="both"/>
      </w:pPr>
    </w:p>
    <w:p w14:paraId="46BB913E" w14:textId="5A38D2A6" w:rsidR="00CC7AC1" w:rsidRPr="00D73180" w:rsidRDefault="00CC7AC1" w:rsidP="00E16C3F">
      <w:pPr>
        <w:jc w:val="both"/>
      </w:pPr>
      <w:r w:rsidRPr="00D73180">
        <w:t xml:space="preserve">Cette convention pourra être signée une fois </w:t>
      </w:r>
      <w:r w:rsidR="00783F95" w:rsidRPr="00D73180">
        <w:t xml:space="preserve">le vote réalisé en commission permanente de novembre 2026 de la Région Île-de-France. </w:t>
      </w:r>
    </w:p>
    <w:p w14:paraId="52076106" w14:textId="77777777" w:rsidR="008135F0" w:rsidRDefault="008135F0" w:rsidP="00E16C3F">
      <w:pPr>
        <w:jc w:val="both"/>
      </w:pPr>
    </w:p>
    <w:p w14:paraId="6913E1D0" w14:textId="77777777" w:rsidR="005B393C" w:rsidRDefault="005B393C" w:rsidP="00E16C3F">
      <w:pPr>
        <w:pStyle w:val="Paragraphedeliste"/>
        <w:jc w:val="both"/>
      </w:pPr>
    </w:p>
    <w:p w14:paraId="5DA048C0" w14:textId="7F20EB63" w:rsidR="005B393C" w:rsidRDefault="005B393C" w:rsidP="00E16C3F">
      <w:pPr>
        <w:pStyle w:val="Paragraphedeliste"/>
        <w:numPr>
          <w:ilvl w:val="0"/>
          <w:numId w:val="2"/>
        </w:numPr>
        <w:jc w:val="both"/>
      </w:pPr>
      <w:r>
        <w:t xml:space="preserve">Calendrier prévisionnel </w:t>
      </w:r>
    </w:p>
    <w:p w14:paraId="302D3558" w14:textId="77777777" w:rsidR="005D4E11" w:rsidRDefault="005D4E11" w:rsidP="00E16C3F">
      <w:pPr>
        <w:jc w:val="both"/>
      </w:pPr>
    </w:p>
    <w:tbl>
      <w:tblPr>
        <w:tblStyle w:val="Grilledutableau"/>
        <w:tblW w:w="0" w:type="auto"/>
        <w:tblLook w:val="04A0" w:firstRow="1" w:lastRow="0" w:firstColumn="1" w:lastColumn="0" w:noHBand="0" w:noVBand="1"/>
      </w:tblPr>
      <w:tblGrid>
        <w:gridCol w:w="4531"/>
        <w:gridCol w:w="4531"/>
      </w:tblGrid>
      <w:tr w:rsidR="005D4E11" w14:paraId="6382FABE" w14:textId="77777777" w:rsidTr="13F52FA1">
        <w:tc>
          <w:tcPr>
            <w:tcW w:w="4531" w:type="dxa"/>
          </w:tcPr>
          <w:p w14:paraId="2D349CAB" w14:textId="394FFE5F" w:rsidR="005D4E11" w:rsidRPr="00DA77E5" w:rsidRDefault="005D4E11" w:rsidP="00E16C3F">
            <w:pPr>
              <w:jc w:val="both"/>
              <w:rPr>
                <w:sz w:val="28"/>
                <w:szCs w:val="28"/>
              </w:rPr>
            </w:pPr>
            <w:r w:rsidRPr="00DA77E5">
              <w:rPr>
                <w:sz w:val="28"/>
                <w:szCs w:val="28"/>
              </w:rPr>
              <w:t>Ouverture de l’appel à projets ISST</w:t>
            </w:r>
          </w:p>
        </w:tc>
        <w:tc>
          <w:tcPr>
            <w:tcW w:w="4531" w:type="dxa"/>
          </w:tcPr>
          <w:p w14:paraId="566B0A9D" w14:textId="5A33776D" w:rsidR="005D4E11" w:rsidRPr="00C81715" w:rsidRDefault="008F27F8" w:rsidP="00E16C3F">
            <w:pPr>
              <w:jc w:val="both"/>
              <w:rPr>
                <w:b/>
                <w:bCs/>
                <w:sz w:val="28"/>
                <w:szCs w:val="28"/>
              </w:rPr>
            </w:pPr>
            <w:r w:rsidRPr="00C81715">
              <w:rPr>
                <w:b/>
                <w:bCs/>
                <w:sz w:val="28"/>
                <w:szCs w:val="28"/>
              </w:rPr>
              <w:t>1</w:t>
            </w:r>
            <w:r w:rsidR="008A65E4">
              <w:rPr>
                <w:b/>
                <w:bCs/>
                <w:sz w:val="28"/>
                <w:szCs w:val="28"/>
              </w:rPr>
              <w:t>8</w:t>
            </w:r>
            <w:r w:rsidRPr="00C81715">
              <w:rPr>
                <w:b/>
                <w:bCs/>
                <w:sz w:val="28"/>
                <w:szCs w:val="28"/>
              </w:rPr>
              <w:t xml:space="preserve"> mai 2026</w:t>
            </w:r>
          </w:p>
        </w:tc>
      </w:tr>
      <w:tr w:rsidR="005D4E11" w14:paraId="11E680EC" w14:textId="77777777" w:rsidTr="13F52FA1">
        <w:tc>
          <w:tcPr>
            <w:tcW w:w="4531" w:type="dxa"/>
          </w:tcPr>
          <w:p w14:paraId="32DA3B1E" w14:textId="29B0CCB2" w:rsidR="005D4E11" w:rsidRPr="00DA77E5" w:rsidRDefault="00D70295" w:rsidP="00E16C3F">
            <w:pPr>
              <w:jc w:val="both"/>
              <w:rPr>
                <w:sz w:val="28"/>
                <w:szCs w:val="28"/>
              </w:rPr>
            </w:pPr>
            <w:r w:rsidRPr="00DA77E5">
              <w:rPr>
                <w:sz w:val="28"/>
                <w:szCs w:val="28"/>
              </w:rPr>
              <w:t>Clôture</w:t>
            </w:r>
            <w:r w:rsidR="005D4E11" w:rsidRPr="00DA77E5">
              <w:rPr>
                <w:sz w:val="28"/>
                <w:szCs w:val="28"/>
              </w:rPr>
              <w:t xml:space="preserve"> de l’appel à projets</w:t>
            </w:r>
          </w:p>
        </w:tc>
        <w:tc>
          <w:tcPr>
            <w:tcW w:w="4531" w:type="dxa"/>
          </w:tcPr>
          <w:p w14:paraId="791ABD8B" w14:textId="51E0013C" w:rsidR="005D4E11" w:rsidRPr="00C81715" w:rsidRDefault="008F27F8" w:rsidP="00E16C3F">
            <w:pPr>
              <w:jc w:val="both"/>
              <w:rPr>
                <w:b/>
                <w:bCs/>
                <w:sz w:val="28"/>
                <w:szCs w:val="28"/>
              </w:rPr>
            </w:pPr>
            <w:r w:rsidRPr="00C81715">
              <w:rPr>
                <w:b/>
                <w:bCs/>
                <w:sz w:val="28"/>
                <w:szCs w:val="28"/>
              </w:rPr>
              <w:t>3</w:t>
            </w:r>
            <w:r w:rsidR="00E950A3">
              <w:rPr>
                <w:b/>
                <w:bCs/>
                <w:sz w:val="28"/>
                <w:szCs w:val="28"/>
              </w:rPr>
              <w:t>0</w:t>
            </w:r>
            <w:r w:rsidRPr="00C81715">
              <w:rPr>
                <w:b/>
                <w:bCs/>
                <w:sz w:val="28"/>
                <w:szCs w:val="28"/>
              </w:rPr>
              <w:t xml:space="preserve"> août 2026</w:t>
            </w:r>
          </w:p>
        </w:tc>
      </w:tr>
      <w:tr w:rsidR="005D4E11" w14:paraId="2AC8D499" w14:textId="77777777" w:rsidTr="13F52FA1">
        <w:tc>
          <w:tcPr>
            <w:tcW w:w="4531" w:type="dxa"/>
          </w:tcPr>
          <w:p w14:paraId="52ECA84A" w14:textId="5C8E116A" w:rsidR="005D4E11" w:rsidRPr="00DA77E5" w:rsidRDefault="005D4E11" w:rsidP="00E16C3F">
            <w:pPr>
              <w:jc w:val="both"/>
              <w:rPr>
                <w:sz w:val="28"/>
                <w:szCs w:val="28"/>
              </w:rPr>
            </w:pPr>
            <w:r w:rsidRPr="00DA77E5">
              <w:rPr>
                <w:sz w:val="28"/>
                <w:szCs w:val="28"/>
              </w:rPr>
              <w:t>Etude des dossiers</w:t>
            </w:r>
          </w:p>
        </w:tc>
        <w:tc>
          <w:tcPr>
            <w:tcW w:w="4531" w:type="dxa"/>
          </w:tcPr>
          <w:p w14:paraId="5C00EE75" w14:textId="17B904E0" w:rsidR="005D4E11" w:rsidRPr="00C81715" w:rsidRDefault="00294326" w:rsidP="00E16C3F">
            <w:pPr>
              <w:jc w:val="both"/>
              <w:rPr>
                <w:b/>
                <w:bCs/>
                <w:sz w:val="28"/>
                <w:szCs w:val="28"/>
              </w:rPr>
            </w:pPr>
            <w:r w:rsidRPr="00C81715">
              <w:rPr>
                <w:b/>
                <w:bCs/>
                <w:sz w:val="28"/>
                <w:szCs w:val="28"/>
              </w:rPr>
              <w:t>31 août – 30 septembre</w:t>
            </w:r>
          </w:p>
        </w:tc>
      </w:tr>
      <w:tr w:rsidR="005D4E11" w14:paraId="60BE8B41" w14:textId="77777777" w:rsidTr="13F52FA1">
        <w:tc>
          <w:tcPr>
            <w:tcW w:w="4531" w:type="dxa"/>
          </w:tcPr>
          <w:p w14:paraId="7590C01B" w14:textId="513EF410" w:rsidR="005D4E11" w:rsidRPr="00DA77E5" w:rsidRDefault="00294326" w:rsidP="00E16C3F">
            <w:pPr>
              <w:jc w:val="both"/>
              <w:rPr>
                <w:sz w:val="28"/>
                <w:szCs w:val="28"/>
              </w:rPr>
            </w:pPr>
            <w:r w:rsidRPr="00DA77E5">
              <w:rPr>
                <w:sz w:val="28"/>
                <w:szCs w:val="28"/>
              </w:rPr>
              <w:t>Jury</w:t>
            </w:r>
          </w:p>
        </w:tc>
        <w:tc>
          <w:tcPr>
            <w:tcW w:w="4531" w:type="dxa"/>
          </w:tcPr>
          <w:p w14:paraId="4D26B36F" w14:textId="1C61F770" w:rsidR="005D4E11" w:rsidRPr="00E950A3" w:rsidRDefault="0D9798DD" w:rsidP="13F52FA1">
            <w:pPr>
              <w:pStyle w:val="Paragraphedeliste"/>
              <w:numPr>
                <w:ilvl w:val="0"/>
                <w:numId w:val="12"/>
              </w:numPr>
              <w:rPr>
                <w:b/>
                <w:bCs/>
                <w:sz w:val="28"/>
                <w:szCs w:val="28"/>
              </w:rPr>
            </w:pPr>
            <w:r w:rsidRPr="13F52FA1">
              <w:rPr>
                <w:b/>
                <w:bCs/>
                <w:sz w:val="28"/>
                <w:szCs w:val="28"/>
              </w:rPr>
              <w:t>4 octobre 2026</w:t>
            </w:r>
          </w:p>
        </w:tc>
      </w:tr>
      <w:tr w:rsidR="00B730D0" w14:paraId="7D45688F" w14:textId="77777777" w:rsidTr="13F52FA1">
        <w:tc>
          <w:tcPr>
            <w:tcW w:w="4531" w:type="dxa"/>
          </w:tcPr>
          <w:p w14:paraId="25D9DDA5" w14:textId="7725DA82" w:rsidR="00B730D0" w:rsidRPr="00DA77E5" w:rsidRDefault="00B730D0" w:rsidP="00E16C3F">
            <w:pPr>
              <w:jc w:val="both"/>
              <w:rPr>
                <w:sz w:val="28"/>
                <w:szCs w:val="28"/>
              </w:rPr>
            </w:pPr>
            <w:r w:rsidRPr="00DA77E5">
              <w:rPr>
                <w:sz w:val="28"/>
                <w:szCs w:val="28"/>
              </w:rPr>
              <w:t>Commission permanente</w:t>
            </w:r>
          </w:p>
        </w:tc>
        <w:tc>
          <w:tcPr>
            <w:tcW w:w="4531" w:type="dxa"/>
          </w:tcPr>
          <w:p w14:paraId="3218D237" w14:textId="023C9F1F" w:rsidR="00B730D0" w:rsidRPr="00C81715" w:rsidRDefault="00A559B7" w:rsidP="00E16C3F">
            <w:pPr>
              <w:jc w:val="both"/>
              <w:rPr>
                <w:b/>
                <w:bCs/>
                <w:sz w:val="28"/>
                <w:szCs w:val="28"/>
              </w:rPr>
            </w:pPr>
            <w:r w:rsidRPr="00C81715">
              <w:rPr>
                <w:b/>
                <w:bCs/>
                <w:sz w:val="28"/>
                <w:szCs w:val="28"/>
              </w:rPr>
              <w:t>19 novembre 2026</w:t>
            </w:r>
          </w:p>
        </w:tc>
      </w:tr>
    </w:tbl>
    <w:p w14:paraId="0E6326B6" w14:textId="77777777" w:rsidR="005D4E11" w:rsidRDefault="005D4E11" w:rsidP="00E16C3F">
      <w:pPr>
        <w:jc w:val="both"/>
      </w:pPr>
    </w:p>
    <w:p w14:paraId="5BE14CC0" w14:textId="77777777" w:rsidR="00047C18" w:rsidRDefault="00047C18" w:rsidP="00E16C3F">
      <w:pPr>
        <w:jc w:val="both"/>
      </w:pPr>
    </w:p>
    <w:p w14:paraId="55A8CCD6" w14:textId="77777777" w:rsidR="00047C18" w:rsidRDefault="00047C18" w:rsidP="00E16C3F">
      <w:pPr>
        <w:jc w:val="both"/>
      </w:pPr>
    </w:p>
    <w:p w14:paraId="55A340F5" w14:textId="77777777" w:rsidR="003D16DF" w:rsidRDefault="003D16DF" w:rsidP="00E16C3F">
      <w:pPr>
        <w:jc w:val="both"/>
      </w:pPr>
    </w:p>
    <w:p w14:paraId="5C8B4E2A" w14:textId="77777777" w:rsidR="003D16DF" w:rsidRDefault="003D16DF" w:rsidP="00E16C3F">
      <w:pPr>
        <w:jc w:val="both"/>
      </w:pPr>
    </w:p>
    <w:p w14:paraId="510DB6A1" w14:textId="77777777" w:rsidR="003D16DF" w:rsidRDefault="003D16DF" w:rsidP="00E16C3F">
      <w:pPr>
        <w:jc w:val="both"/>
      </w:pPr>
    </w:p>
    <w:p w14:paraId="14777C57" w14:textId="772D1ADE" w:rsidR="003D16DF" w:rsidRPr="003D16DF" w:rsidRDefault="003D16DF" w:rsidP="003D16DF">
      <w:pPr>
        <w:jc w:val="center"/>
      </w:pPr>
    </w:p>
    <w:p w14:paraId="050D7A6E" w14:textId="77777777" w:rsidR="003D16DF" w:rsidRDefault="003D16DF" w:rsidP="003D16DF">
      <w:pPr>
        <w:jc w:val="center"/>
      </w:pPr>
    </w:p>
    <w:sectPr w:rsidR="003D16DF" w:rsidSect="0028074E">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F23A5" w14:textId="77777777" w:rsidR="00613CA3" w:rsidRDefault="00613CA3" w:rsidP="003D16DF">
      <w:r>
        <w:separator/>
      </w:r>
    </w:p>
  </w:endnote>
  <w:endnote w:type="continuationSeparator" w:id="0">
    <w:p w14:paraId="73820C8B" w14:textId="77777777" w:rsidR="00613CA3" w:rsidRDefault="00613CA3" w:rsidP="003D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49612"/>
      <w:docPartObj>
        <w:docPartGallery w:val="Page Numbers (Bottom of Page)"/>
        <w:docPartUnique/>
      </w:docPartObj>
    </w:sdtPr>
    <w:sdtEndPr/>
    <w:sdtContent>
      <w:p w14:paraId="6C3A1116" w14:textId="62589420" w:rsidR="00D70295" w:rsidRDefault="00D70295">
        <w:pPr>
          <w:pStyle w:val="Pieddepage"/>
          <w:jc w:val="right"/>
        </w:pPr>
        <w:r>
          <w:fldChar w:fldCharType="begin"/>
        </w:r>
        <w:r>
          <w:instrText>PAGE   \* MERGEFORMAT</w:instrText>
        </w:r>
        <w:r>
          <w:fldChar w:fldCharType="separate"/>
        </w:r>
        <w:r>
          <w:t>2</w:t>
        </w:r>
        <w:r>
          <w:fldChar w:fldCharType="end"/>
        </w:r>
      </w:p>
    </w:sdtContent>
  </w:sdt>
  <w:p w14:paraId="654766E5" w14:textId="77777777" w:rsidR="00D70295" w:rsidRDefault="00D702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0B6C7" w14:textId="77777777" w:rsidR="00613CA3" w:rsidRDefault="00613CA3" w:rsidP="003D16DF">
      <w:r>
        <w:separator/>
      </w:r>
    </w:p>
  </w:footnote>
  <w:footnote w:type="continuationSeparator" w:id="0">
    <w:p w14:paraId="61246613" w14:textId="77777777" w:rsidR="00613CA3" w:rsidRDefault="00613CA3" w:rsidP="003D16DF">
      <w:r>
        <w:continuationSeparator/>
      </w:r>
    </w:p>
  </w:footnote>
  <w:footnote w:id="1">
    <w:p w14:paraId="17F9E3ED" w14:textId="12D367A9" w:rsidR="009D21C2" w:rsidRDefault="009D21C2">
      <w:pPr>
        <w:pStyle w:val="Notedebasdepage"/>
      </w:pPr>
      <w:r>
        <w:rPr>
          <w:rStyle w:val="Appelnotedebasdep"/>
        </w:rPr>
        <w:footnoteRef/>
      </w:r>
      <w:r w:rsidR="13F52FA1">
        <w:t xml:space="preserve"> A ce titre et pour les projets relevant de la filière IA, </w:t>
      </w:r>
      <w:r w:rsidR="13F52FA1" w:rsidRPr="009D21C2">
        <w:t xml:space="preserve">un enjeu </w:t>
      </w:r>
      <w:r w:rsidR="13F52FA1">
        <w:t xml:space="preserve">fort </w:t>
      </w:r>
      <w:r w:rsidR="13F52FA1" w:rsidRPr="009D21C2">
        <w:t xml:space="preserve">sera de présenter </w:t>
      </w:r>
      <w:r w:rsidR="13F52FA1">
        <w:t>les problématiques</w:t>
      </w:r>
      <w:r w:rsidR="13F52FA1" w:rsidRPr="009D21C2">
        <w:t xml:space="preserve"> d’optimisation performance/coût calculatoire, et plus globalement, de présenter une analyse de leur solution technique sur le plan de l’émission de gaz à effet de serre (ensemble du pipeline dont l’énergie utilisée pour les infrastructures). Une attention sera également portée à l’enjeu de Confiance dans les solutions proposées. Cela implique une analyse sur la robustesse des modèles,sur les incertitudes associées aux prédictions des modèles (en relation avec le niveau de criticité des services envisagés), sur les facteurs d’explicabilité des modèles ou architectures, sur le niveau de transparence des solutions, sur les risques potentiels (lorsque applicable, ex. potentiellement dans le cas d’utilisation de LLM ou VLM, de l’interaction avec l’utilisateur) et garde-fous associés liés à l’éthique des solutions</w:t>
      </w:r>
    </w:p>
  </w:footnote>
  <w:footnote w:id="2">
    <w:p w14:paraId="7591C268" w14:textId="2F8752E1" w:rsidR="00E5110A" w:rsidRDefault="00E5110A">
      <w:pPr>
        <w:pStyle w:val="Notedebasdepage"/>
      </w:pPr>
      <w:r>
        <w:rPr>
          <w:rStyle w:val="Appelnotedebasdep"/>
        </w:rPr>
        <w:footnoteRef/>
      </w:r>
      <w:r>
        <w:t xml:space="preserve"> Exemples : technologies semi-conducteurs pour le quantique, </w:t>
      </w:r>
      <w:r w:rsidR="002D161C">
        <w:t>hydrogène pour les véhicules, IA appliquée à l’aérospatiale…</w:t>
      </w:r>
    </w:p>
  </w:footnote>
  <w:footnote w:id="3">
    <w:p w14:paraId="7CB0B89F" w14:textId="3FCAA4F0" w:rsidR="000C0CF4" w:rsidRDefault="000C0CF4">
      <w:pPr>
        <w:pStyle w:val="Notedebasdepage"/>
      </w:pPr>
      <w:r>
        <w:rPr>
          <w:rStyle w:val="Appelnotedebasdep"/>
        </w:rPr>
        <w:footnoteRef/>
      </w:r>
      <w:r>
        <w:t xml:space="preserve"> U</w:t>
      </w:r>
      <w:r w:rsidRPr="000C0CF4">
        <w:t>ne collaboration entre au moins deux parties indépendantes l'une de l'autre et visant à échanger des connaissances ou des technologies, ou à atteindre un objectif commun, fondée sur une division du travail impliquant que les parties définissent conjointement la portée du projet collaboratif, contribuent à sa réalisation, et en partagent les risques et les résultats. Une ou plusieurs parties peuvent supporter l'intégralité des coûts du projet et donc soustraire d'autres parties à tout risque financier. Les contrats de recherche et la fourniture de services de recherche ne sont pas considérés comme des formes de collaboration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338F" w14:textId="1E39597C" w:rsidR="003D16DF" w:rsidRPr="003D16DF" w:rsidRDefault="003D16DF" w:rsidP="003D16DF">
    <w:pPr>
      <w:pStyle w:val="En-tte"/>
    </w:pPr>
    <w:r w:rsidRPr="003D16DF">
      <w:tab/>
    </w:r>
  </w:p>
  <w:p w14:paraId="67EA86E7" w14:textId="49F2329E" w:rsidR="003D16DF" w:rsidRDefault="003D16DF" w:rsidP="003D16DF">
    <w:pPr>
      <w:pStyle w:val="En-tte"/>
    </w:pPr>
  </w:p>
</w:hdr>
</file>

<file path=word/intelligence2.xml><?xml version="1.0" encoding="utf-8"?>
<int2:intelligence xmlns:int2="http://schemas.microsoft.com/office/intelligence/2020/intelligence" xmlns:oel="http://schemas.microsoft.com/office/2019/extlst">
  <int2:observations>
    <int2:textHash int2:hashCode="GK8htwsp3e36M+" int2:id="DrxaGQN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CE8"/>
    <w:multiLevelType w:val="hybridMultilevel"/>
    <w:tmpl w:val="D0249A34"/>
    <w:lvl w:ilvl="0" w:tplc="5568024C">
      <w:start w:val="1"/>
      <w:numFmt w:val="bullet"/>
      <w:lvlText w:val="–"/>
      <w:lvlJc w:val="left"/>
      <w:pPr>
        <w:ind w:left="560" w:hanging="280"/>
      </w:pPr>
      <w:rPr>
        <w:color w:val="1A3668"/>
      </w:rPr>
    </w:lvl>
    <w:lvl w:ilvl="1" w:tplc="84B48970">
      <w:numFmt w:val="decimal"/>
      <w:lvlText w:val=""/>
      <w:lvlJc w:val="left"/>
    </w:lvl>
    <w:lvl w:ilvl="2" w:tplc="05389578">
      <w:numFmt w:val="decimal"/>
      <w:lvlText w:val=""/>
      <w:lvlJc w:val="left"/>
    </w:lvl>
    <w:lvl w:ilvl="3" w:tplc="B8DA1448">
      <w:numFmt w:val="decimal"/>
      <w:lvlText w:val=""/>
      <w:lvlJc w:val="left"/>
    </w:lvl>
    <w:lvl w:ilvl="4" w:tplc="51022A18">
      <w:numFmt w:val="decimal"/>
      <w:lvlText w:val=""/>
      <w:lvlJc w:val="left"/>
    </w:lvl>
    <w:lvl w:ilvl="5" w:tplc="5BD4366A">
      <w:numFmt w:val="decimal"/>
      <w:lvlText w:val=""/>
      <w:lvlJc w:val="left"/>
    </w:lvl>
    <w:lvl w:ilvl="6" w:tplc="E3827B82">
      <w:numFmt w:val="decimal"/>
      <w:lvlText w:val=""/>
      <w:lvlJc w:val="left"/>
    </w:lvl>
    <w:lvl w:ilvl="7" w:tplc="CF4C1ECC">
      <w:numFmt w:val="decimal"/>
      <w:lvlText w:val=""/>
      <w:lvlJc w:val="left"/>
    </w:lvl>
    <w:lvl w:ilvl="8" w:tplc="BFC21018">
      <w:numFmt w:val="decimal"/>
      <w:lvlText w:val=""/>
      <w:lvlJc w:val="left"/>
    </w:lvl>
  </w:abstractNum>
  <w:abstractNum w:abstractNumId="1" w15:restartNumberingAfterBreak="0">
    <w:nsid w:val="0DF35417"/>
    <w:multiLevelType w:val="multilevel"/>
    <w:tmpl w:val="3F1CA1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662606F"/>
    <w:multiLevelType w:val="hybridMultilevel"/>
    <w:tmpl w:val="FC062FAA"/>
    <w:lvl w:ilvl="0" w:tplc="F5BA92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0E299B"/>
    <w:multiLevelType w:val="hybridMultilevel"/>
    <w:tmpl w:val="0A22F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A07D8B"/>
    <w:multiLevelType w:val="hybridMultilevel"/>
    <w:tmpl w:val="0BD2EE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5628C5"/>
    <w:multiLevelType w:val="hybridMultilevel"/>
    <w:tmpl w:val="FFFFFFFF"/>
    <w:lvl w:ilvl="0" w:tplc="674C57A4">
      <w:start w:val="1"/>
      <w:numFmt w:val="bullet"/>
      <w:lvlText w:val=""/>
      <w:lvlJc w:val="left"/>
      <w:pPr>
        <w:ind w:left="720" w:hanging="360"/>
      </w:pPr>
      <w:rPr>
        <w:rFonts w:ascii="Symbol" w:hAnsi="Symbol" w:hint="default"/>
      </w:rPr>
    </w:lvl>
    <w:lvl w:ilvl="1" w:tplc="B202ADF0">
      <w:start w:val="1"/>
      <w:numFmt w:val="bullet"/>
      <w:lvlText w:val="o"/>
      <w:lvlJc w:val="left"/>
      <w:pPr>
        <w:ind w:left="1440" w:hanging="360"/>
      </w:pPr>
      <w:rPr>
        <w:rFonts w:ascii="Courier New" w:hAnsi="Courier New" w:hint="default"/>
      </w:rPr>
    </w:lvl>
    <w:lvl w:ilvl="2" w:tplc="3A98403C">
      <w:start w:val="1"/>
      <w:numFmt w:val="bullet"/>
      <w:lvlText w:val=""/>
      <w:lvlJc w:val="left"/>
      <w:pPr>
        <w:ind w:left="2160" w:hanging="360"/>
      </w:pPr>
      <w:rPr>
        <w:rFonts w:ascii="Wingdings" w:hAnsi="Wingdings" w:hint="default"/>
      </w:rPr>
    </w:lvl>
    <w:lvl w:ilvl="3" w:tplc="A1D607CC">
      <w:start w:val="1"/>
      <w:numFmt w:val="bullet"/>
      <w:lvlText w:val=""/>
      <w:lvlJc w:val="left"/>
      <w:pPr>
        <w:ind w:left="2880" w:hanging="360"/>
      </w:pPr>
      <w:rPr>
        <w:rFonts w:ascii="Symbol" w:hAnsi="Symbol" w:hint="default"/>
      </w:rPr>
    </w:lvl>
    <w:lvl w:ilvl="4" w:tplc="837A7518">
      <w:start w:val="1"/>
      <w:numFmt w:val="bullet"/>
      <w:lvlText w:val="o"/>
      <w:lvlJc w:val="left"/>
      <w:pPr>
        <w:ind w:left="3600" w:hanging="360"/>
      </w:pPr>
      <w:rPr>
        <w:rFonts w:ascii="Courier New" w:hAnsi="Courier New" w:hint="default"/>
      </w:rPr>
    </w:lvl>
    <w:lvl w:ilvl="5" w:tplc="BA3040FE">
      <w:start w:val="1"/>
      <w:numFmt w:val="bullet"/>
      <w:lvlText w:val=""/>
      <w:lvlJc w:val="left"/>
      <w:pPr>
        <w:ind w:left="4320" w:hanging="360"/>
      </w:pPr>
      <w:rPr>
        <w:rFonts w:ascii="Wingdings" w:hAnsi="Wingdings" w:hint="default"/>
      </w:rPr>
    </w:lvl>
    <w:lvl w:ilvl="6" w:tplc="A93842A2">
      <w:start w:val="1"/>
      <w:numFmt w:val="bullet"/>
      <w:lvlText w:val=""/>
      <w:lvlJc w:val="left"/>
      <w:pPr>
        <w:ind w:left="5040" w:hanging="360"/>
      </w:pPr>
      <w:rPr>
        <w:rFonts w:ascii="Symbol" w:hAnsi="Symbol" w:hint="default"/>
      </w:rPr>
    </w:lvl>
    <w:lvl w:ilvl="7" w:tplc="B358DBE2">
      <w:start w:val="1"/>
      <w:numFmt w:val="bullet"/>
      <w:lvlText w:val="o"/>
      <w:lvlJc w:val="left"/>
      <w:pPr>
        <w:ind w:left="5760" w:hanging="360"/>
      </w:pPr>
      <w:rPr>
        <w:rFonts w:ascii="Courier New" w:hAnsi="Courier New" w:hint="default"/>
      </w:rPr>
    </w:lvl>
    <w:lvl w:ilvl="8" w:tplc="1A34B970">
      <w:start w:val="1"/>
      <w:numFmt w:val="bullet"/>
      <w:lvlText w:val=""/>
      <w:lvlJc w:val="left"/>
      <w:pPr>
        <w:ind w:left="6480" w:hanging="360"/>
      </w:pPr>
      <w:rPr>
        <w:rFonts w:ascii="Wingdings" w:hAnsi="Wingdings" w:hint="default"/>
      </w:rPr>
    </w:lvl>
  </w:abstractNum>
  <w:abstractNum w:abstractNumId="6" w15:restartNumberingAfterBreak="0">
    <w:nsid w:val="58CC4A33"/>
    <w:multiLevelType w:val="hybridMultilevel"/>
    <w:tmpl w:val="5414F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7F0F4C"/>
    <w:multiLevelType w:val="hybridMultilevel"/>
    <w:tmpl w:val="B5BA3542"/>
    <w:lvl w:ilvl="0" w:tplc="839466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37801A2"/>
    <w:multiLevelType w:val="hybridMultilevel"/>
    <w:tmpl w:val="A0D47C0C"/>
    <w:lvl w:ilvl="0" w:tplc="040C0001">
      <w:start w:val="1"/>
      <w:numFmt w:val="bullet"/>
      <w:lvlText w:val=""/>
      <w:lvlJc w:val="left"/>
      <w:pPr>
        <w:ind w:left="560" w:hanging="280"/>
      </w:pPr>
      <w:rPr>
        <w:rFonts w:ascii="Symbol" w:hAnsi="Symbol" w:hint="default"/>
        <w:color w:val="1A366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960340B"/>
    <w:multiLevelType w:val="hybridMultilevel"/>
    <w:tmpl w:val="8664536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9E108F4"/>
    <w:multiLevelType w:val="hybridMultilevel"/>
    <w:tmpl w:val="139232C0"/>
    <w:lvl w:ilvl="0" w:tplc="040C0001">
      <w:start w:val="1"/>
      <w:numFmt w:val="bullet"/>
      <w:lvlText w:val=""/>
      <w:lvlJc w:val="left"/>
      <w:pPr>
        <w:ind w:left="560" w:hanging="280"/>
      </w:pPr>
      <w:rPr>
        <w:rFonts w:ascii="Symbol" w:hAnsi="Symbol" w:hint="default"/>
        <w:color w:val="1A366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9EA5FBD"/>
    <w:multiLevelType w:val="hybridMultilevel"/>
    <w:tmpl w:val="3DF2CA5A"/>
    <w:lvl w:ilvl="0" w:tplc="414447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16442431">
    <w:abstractNumId w:val="5"/>
  </w:num>
  <w:num w:numId="2" w16cid:durableId="1975789513">
    <w:abstractNumId w:val="1"/>
  </w:num>
  <w:num w:numId="3" w16cid:durableId="1256010583">
    <w:abstractNumId w:val="6"/>
  </w:num>
  <w:num w:numId="4" w16cid:durableId="335310421">
    <w:abstractNumId w:val="0"/>
  </w:num>
  <w:num w:numId="5" w16cid:durableId="563294695">
    <w:abstractNumId w:val="3"/>
  </w:num>
  <w:num w:numId="6" w16cid:durableId="1634360607">
    <w:abstractNumId w:val="4"/>
  </w:num>
  <w:num w:numId="7" w16cid:durableId="1821195061">
    <w:abstractNumId w:val="11"/>
  </w:num>
  <w:num w:numId="8" w16cid:durableId="690033749">
    <w:abstractNumId w:val="7"/>
  </w:num>
  <w:num w:numId="9" w16cid:durableId="207769266">
    <w:abstractNumId w:val="9"/>
  </w:num>
  <w:num w:numId="10" w16cid:durableId="1275790698">
    <w:abstractNumId w:val="8"/>
  </w:num>
  <w:num w:numId="11" w16cid:durableId="802574294">
    <w:abstractNumId w:val="10"/>
  </w:num>
  <w:num w:numId="12" w16cid:durableId="1547989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DF"/>
    <w:rsid w:val="00015F34"/>
    <w:rsid w:val="000203B1"/>
    <w:rsid w:val="00043D7D"/>
    <w:rsid w:val="00047C18"/>
    <w:rsid w:val="00070CCE"/>
    <w:rsid w:val="000713F7"/>
    <w:rsid w:val="0007177F"/>
    <w:rsid w:val="00090CB2"/>
    <w:rsid w:val="000974F3"/>
    <w:rsid w:val="000A2C05"/>
    <w:rsid w:val="000A3EDF"/>
    <w:rsid w:val="000A4AE9"/>
    <w:rsid w:val="000A647C"/>
    <w:rsid w:val="000A6E48"/>
    <w:rsid w:val="000C099E"/>
    <w:rsid w:val="000C0CF4"/>
    <w:rsid w:val="000C2A7C"/>
    <w:rsid w:val="000C59E7"/>
    <w:rsid w:val="000C6188"/>
    <w:rsid w:val="000D415E"/>
    <w:rsid w:val="000D69E9"/>
    <w:rsid w:val="000E4F5A"/>
    <w:rsid w:val="000F15AF"/>
    <w:rsid w:val="00105A99"/>
    <w:rsid w:val="00121BBC"/>
    <w:rsid w:val="0012314B"/>
    <w:rsid w:val="00130C50"/>
    <w:rsid w:val="00134361"/>
    <w:rsid w:val="00135C3B"/>
    <w:rsid w:val="0014674A"/>
    <w:rsid w:val="00152C51"/>
    <w:rsid w:val="001546B1"/>
    <w:rsid w:val="00156547"/>
    <w:rsid w:val="00161671"/>
    <w:rsid w:val="00162DE4"/>
    <w:rsid w:val="00192CD8"/>
    <w:rsid w:val="00196C4C"/>
    <w:rsid w:val="00197E7D"/>
    <w:rsid w:val="001B1072"/>
    <w:rsid w:val="001B4B66"/>
    <w:rsid w:val="001C57A2"/>
    <w:rsid w:val="001C66A9"/>
    <w:rsid w:val="001D0787"/>
    <w:rsid w:val="001D1CFC"/>
    <w:rsid w:val="001D5171"/>
    <w:rsid w:val="001D5639"/>
    <w:rsid w:val="001E1220"/>
    <w:rsid w:val="001E26A6"/>
    <w:rsid w:val="001E2CCA"/>
    <w:rsid w:val="001E769A"/>
    <w:rsid w:val="001F5B64"/>
    <w:rsid w:val="00200900"/>
    <w:rsid w:val="00202C1F"/>
    <w:rsid w:val="002125C7"/>
    <w:rsid w:val="00234DBA"/>
    <w:rsid w:val="00247071"/>
    <w:rsid w:val="00247B58"/>
    <w:rsid w:val="0026063C"/>
    <w:rsid w:val="00266B44"/>
    <w:rsid w:val="00273D1B"/>
    <w:rsid w:val="0028074E"/>
    <w:rsid w:val="00282735"/>
    <w:rsid w:val="00294326"/>
    <w:rsid w:val="002B15E4"/>
    <w:rsid w:val="002B6915"/>
    <w:rsid w:val="002C5C53"/>
    <w:rsid w:val="002D161C"/>
    <w:rsid w:val="002D33C7"/>
    <w:rsid w:val="002E2E3A"/>
    <w:rsid w:val="002E3C43"/>
    <w:rsid w:val="002F2000"/>
    <w:rsid w:val="002F65F8"/>
    <w:rsid w:val="00302A5F"/>
    <w:rsid w:val="003235B6"/>
    <w:rsid w:val="003523BD"/>
    <w:rsid w:val="00357092"/>
    <w:rsid w:val="0036327C"/>
    <w:rsid w:val="00367CC0"/>
    <w:rsid w:val="003731B6"/>
    <w:rsid w:val="003875E4"/>
    <w:rsid w:val="00387C04"/>
    <w:rsid w:val="0039452F"/>
    <w:rsid w:val="0039507E"/>
    <w:rsid w:val="00395846"/>
    <w:rsid w:val="00395B35"/>
    <w:rsid w:val="0039751F"/>
    <w:rsid w:val="003A2E5C"/>
    <w:rsid w:val="003C2375"/>
    <w:rsid w:val="003D16DF"/>
    <w:rsid w:val="003D444F"/>
    <w:rsid w:val="003D4648"/>
    <w:rsid w:val="003E1298"/>
    <w:rsid w:val="003E1742"/>
    <w:rsid w:val="003E515C"/>
    <w:rsid w:val="003F080B"/>
    <w:rsid w:val="003F3C70"/>
    <w:rsid w:val="0040054D"/>
    <w:rsid w:val="0040612E"/>
    <w:rsid w:val="004072AE"/>
    <w:rsid w:val="00413209"/>
    <w:rsid w:val="00416115"/>
    <w:rsid w:val="00424407"/>
    <w:rsid w:val="004417B1"/>
    <w:rsid w:val="00453BE4"/>
    <w:rsid w:val="0046149C"/>
    <w:rsid w:val="004635EC"/>
    <w:rsid w:val="00463A0B"/>
    <w:rsid w:val="00470C4B"/>
    <w:rsid w:val="0048240A"/>
    <w:rsid w:val="00483058"/>
    <w:rsid w:val="004965CD"/>
    <w:rsid w:val="004A2266"/>
    <w:rsid w:val="004C1FA4"/>
    <w:rsid w:val="004C2C85"/>
    <w:rsid w:val="004C36C8"/>
    <w:rsid w:val="004C6493"/>
    <w:rsid w:val="004D1D6C"/>
    <w:rsid w:val="004D5DCB"/>
    <w:rsid w:val="004D734A"/>
    <w:rsid w:val="004F0249"/>
    <w:rsid w:val="004F5348"/>
    <w:rsid w:val="004F6A03"/>
    <w:rsid w:val="005058C2"/>
    <w:rsid w:val="00512C1C"/>
    <w:rsid w:val="00514B64"/>
    <w:rsid w:val="00516861"/>
    <w:rsid w:val="005173CE"/>
    <w:rsid w:val="0052030F"/>
    <w:rsid w:val="00524F93"/>
    <w:rsid w:val="005250E7"/>
    <w:rsid w:val="005251F4"/>
    <w:rsid w:val="00533830"/>
    <w:rsid w:val="00533C00"/>
    <w:rsid w:val="00534BBE"/>
    <w:rsid w:val="00535529"/>
    <w:rsid w:val="005408A3"/>
    <w:rsid w:val="00541826"/>
    <w:rsid w:val="00551AEC"/>
    <w:rsid w:val="00554E25"/>
    <w:rsid w:val="00554E99"/>
    <w:rsid w:val="00556750"/>
    <w:rsid w:val="00556EDB"/>
    <w:rsid w:val="005613EA"/>
    <w:rsid w:val="00565E7D"/>
    <w:rsid w:val="00570DEB"/>
    <w:rsid w:val="00575B0D"/>
    <w:rsid w:val="00584296"/>
    <w:rsid w:val="00586EB1"/>
    <w:rsid w:val="00590E7D"/>
    <w:rsid w:val="005960C6"/>
    <w:rsid w:val="00597B10"/>
    <w:rsid w:val="005B393C"/>
    <w:rsid w:val="005B5992"/>
    <w:rsid w:val="005C393B"/>
    <w:rsid w:val="005C3AE3"/>
    <w:rsid w:val="005C7368"/>
    <w:rsid w:val="005D33E7"/>
    <w:rsid w:val="005D3812"/>
    <w:rsid w:val="005D4E11"/>
    <w:rsid w:val="005D5814"/>
    <w:rsid w:val="005D69ED"/>
    <w:rsid w:val="005F03B8"/>
    <w:rsid w:val="005F2F34"/>
    <w:rsid w:val="005F3688"/>
    <w:rsid w:val="005F6D1E"/>
    <w:rsid w:val="00601AF2"/>
    <w:rsid w:val="00613CA3"/>
    <w:rsid w:val="006143E4"/>
    <w:rsid w:val="00615434"/>
    <w:rsid w:val="00616F25"/>
    <w:rsid w:val="00623E64"/>
    <w:rsid w:val="006303B3"/>
    <w:rsid w:val="00637803"/>
    <w:rsid w:val="00667ED0"/>
    <w:rsid w:val="00672566"/>
    <w:rsid w:val="00673891"/>
    <w:rsid w:val="00686949"/>
    <w:rsid w:val="006A1C48"/>
    <w:rsid w:val="006B3604"/>
    <w:rsid w:val="006C3CD2"/>
    <w:rsid w:val="006C685B"/>
    <w:rsid w:val="006D13C5"/>
    <w:rsid w:val="006D6F1B"/>
    <w:rsid w:val="006E4802"/>
    <w:rsid w:val="006F120A"/>
    <w:rsid w:val="006F469B"/>
    <w:rsid w:val="00705FF2"/>
    <w:rsid w:val="00707064"/>
    <w:rsid w:val="00714160"/>
    <w:rsid w:val="00714BAB"/>
    <w:rsid w:val="00714DA4"/>
    <w:rsid w:val="00721B9A"/>
    <w:rsid w:val="00723BEB"/>
    <w:rsid w:val="0072532D"/>
    <w:rsid w:val="00726A71"/>
    <w:rsid w:val="007341FC"/>
    <w:rsid w:val="00734D1B"/>
    <w:rsid w:val="007469FF"/>
    <w:rsid w:val="00746AA1"/>
    <w:rsid w:val="00760F7D"/>
    <w:rsid w:val="00765C1C"/>
    <w:rsid w:val="00777B69"/>
    <w:rsid w:val="00780D35"/>
    <w:rsid w:val="00783F95"/>
    <w:rsid w:val="007B4D4B"/>
    <w:rsid w:val="007C568F"/>
    <w:rsid w:val="007C60ED"/>
    <w:rsid w:val="007D187A"/>
    <w:rsid w:val="007D6482"/>
    <w:rsid w:val="007E053A"/>
    <w:rsid w:val="007E5888"/>
    <w:rsid w:val="007F3E26"/>
    <w:rsid w:val="007F7382"/>
    <w:rsid w:val="008135F0"/>
    <w:rsid w:val="008176BB"/>
    <w:rsid w:val="00820704"/>
    <w:rsid w:val="00823A3A"/>
    <w:rsid w:val="00847B71"/>
    <w:rsid w:val="0085168C"/>
    <w:rsid w:val="0085200A"/>
    <w:rsid w:val="008642C8"/>
    <w:rsid w:val="0087242B"/>
    <w:rsid w:val="008851A9"/>
    <w:rsid w:val="008979F7"/>
    <w:rsid w:val="008A03C1"/>
    <w:rsid w:val="008A2989"/>
    <w:rsid w:val="008A65E4"/>
    <w:rsid w:val="008B6F0A"/>
    <w:rsid w:val="008E60AD"/>
    <w:rsid w:val="008F032F"/>
    <w:rsid w:val="008F182E"/>
    <w:rsid w:val="008F27F8"/>
    <w:rsid w:val="008F716E"/>
    <w:rsid w:val="00901E33"/>
    <w:rsid w:val="00902822"/>
    <w:rsid w:val="00902F54"/>
    <w:rsid w:val="009118E4"/>
    <w:rsid w:val="009153A5"/>
    <w:rsid w:val="009330E3"/>
    <w:rsid w:val="00960B69"/>
    <w:rsid w:val="00962AD7"/>
    <w:rsid w:val="009758D7"/>
    <w:rsid w:val="009824D1"/>
    <w:rsid w:val="00982EFE"/>
    <w:rsid w:val="009837A0"/>
    <w:rsid w:val="009859F5"/>
    <w:rsid w:val="00991CB6"/>
    <w:rsid w:val="009A5861"/>
    <w:rsid w:val="009B0EDD"/>
    <w:rsid w:val="009C612A"/>
    <w:rsid w:val="009C6A2B"/>
    <w:rsid w:val="009D21A7"/>
    <w:rsid w:val="009D21C2"/>
    <w:rsid w:val="00A16B7B"/>
    <w:rsid w:val="00A2560E"/>
    <w:rsid w:val="00A27A2B"/>
    <w:rsid w:val="00A30205"/>
    <w:rsid w:val="00A31A04"/>
    <w:rsid w:val="00A37798"/>
    <w:rsid w:val="00A432F5"/>
    <w:rsid w:val="00A4657C"/>
    <w:rsid w:val="00A50024"/>
    <w:rsid w:val="00A559B7"/>
    <w:rsid w:val="00A5680F"/>
    <w:rsid w:val="00A82346"/>
    <w:rsid w:val="00A86EC2"/>
    <w:rsid w:val="00A94F73"/>
    <w:rsid w:val="00A9717E"/>
    <w:rsid w:val="00AA42C6"/>
    <w:rsid w:val="00AB2136"/>
    <w:rsid w:val="00AB6633"/>
    <w:rsid w:val="00AC2763"/>
    <w:rsid w:val="00AC279E"/>
    <w:rsid w:val="00B161B0"/>
    <w:rsid w:val="00B17F11"/>
    <w:rsid w:val="00B30B52"/>
    <w:rsid w:val="00B34D6F"/>
    <w:rsid w:val="00B43D4F"/>
    <w:rsid w:val="00B53CB8"/>
    <w:rsid w:val="00B66883"/>
    <w:rsid w:val="00B730D0"/>
    <w:rsid w:val="00B824FA"/>
    <w:rsid w:val="00BA4AA9"/>
    <w:rsid w:val="00BA789E"/>
    <w:rsid w:val="00BC1AA6"/>
    <w:rsid w:val="00BD5F19"/>
    <w:rsid w:val="00BE1D02"/>
    <w:rsid w:val="00BE2952"/>
    <w:rsid w:val="00BE2A31"/>
    <w:rsid w:val="00BE2EC8"/>
    <w:rsid w:val="00BF2FDF"/>
    <w:rsid w:val="00BF3FE2"/>
    <w:rsid w:val="00BF628E"/>
    <w:rsid w:val="00C03A2F"/>
    <w:rsid w:val="00C2456F"/>
    <w:rsid w:val="00C359B3"/>
    <w:rsid w:val="00C36569"/>
    <w:rsid w:val="00C55847"/>
    <w:rsid w:val="00C65DF7"/>
    <w:rsid w:val="00C7357A"/>
    <w:rsid w:val="00C73DFE"/>
    <w:rsid w:val="00C742A0"/>
    <w:rsid w:val="00C81715"/>
    <w:rsid w:val="00C83C13"/>
    <w:rsid w:val="00C906C1"/>
    <w:rsid w:val="00C95BB9"/>
    <w:rsid w:val="00CA1658"/>
    <w:rsid w:val="00CA3EB3"/>
    <w:rsid w:val="00CC25DC"/>
    <w:rsid w:val="00CC6EA6"/>
    <w:rsid w:val="00CC7AC1"/>
    <w:rsid w:val="00CE0BFA"/>
    <w:rsid w:val="00CE523F"/>
    <w:rsid w:val="00CE7078"/>
    <w:rsid w:val="00CF4E3B"/>
    <w:rsid w:val="00D20C9C"/>
    <w:rsid w:val="00D22972"/>
    <w:rsid w:val="00D26CC4"/>
    <w:rsid w:val="00D27276"/>
    <w:rsid w:val="00D32F3D"/>
    <w:rsid w:val="00D357CF"/>
    <w:rsid w:val="00D44394"/>
    <w:rsid w:val="00D646DF"/>
    <w:rsid w:val="00D70295"/>
    <w:rsid w:val="00D714F2"/>
    <w:rsid w:val="00D73180"/>
    <w:rsid w:val="00D731C6"/>
    <w:rsid w:val="00D74BB5"/>
    <w:rsid w:val="00D771CE"/>
    <w:rsid w:val="00D816D8"/>
    <w:rsid w:val="00D862C4"/>
    <w:rsid w:val="00D86B7D"/>
    <w:rsid w:val="00D91220"/>
    <w:rsid w:val="00DA1DF4"/>
    <w:rsid w:val="00DA7208"/>
    <w:rsid w:val="00DA77E5"/>
    <w:rsid w:val="00DB3369"/>
    <w:rsid w:val="00DB55CD"/>
    <w:rsid w:val="00DC22A3"/>
    <w:rsid w:val="00DD60C4"/>
    <w:rsid w:val="00DE7A97"/>
    <w:rsid w:val="00DF289D"/>
    <w:rsid w:val="00E076CE"/>
    <w:rsid w:val="00E13552"/>
    <w:rsid w:val="00E16099"/>
    <w:rsid w:val="00E16C3F"/>
    <w:rsid w:val="00E20467"/>
    <w:rsid w:val="00E2068E"/>
    <w:rsid w:val="00E2082F"/>
    <w:rsid w:val="00E21DA8"/>
    <w:rsid w:val="00E22D65"/>
    <w:rsid w:val="00E245BC"/>
    <w:rsid w:val="00E25E42"/>
    <w:rsid w:val="00E301B4"/>
    <w:rsid w:val="00E468A0"/>
    <w:rsid w:val="00E507E7"/>
    <w:rsid w:val="00E5110A"/>
    <w:rsid w:val="00E553A8"/>
    <w:rsid w:val="00E63B04"/>
    <w:rsid w:val="00E70540"/>
    <w:rsid w:val="00E74B1F"/>
    <w:rsid w:val="00E8207E"/>
    <w:rsid w:val="00E8311F"/>
    <w:rsid w:val="00E859D5"/>
    <w:rsid w:val="00E86D4E"/>
    <w:rsid w:val="00E950A3"/>
    <w:rsid w:val="00EA05D1"/>
    <w:rsid w:val="00EA3EB9"/>
    <w:rsid w:val="00EB0A99"/>
    <w:rsid w:val="00EB1F73"/>
    <w:rsid w:val="00EB7569"/>
    <w:rsid w:val="00EC1793"/>
    <w:rsid w:val="00EC67B9"/>
    <w:rsid w:val="00ED5507"/>
    <w:rsid w:val="00ED6953"/>
    <w:rsid w:val="00ED6FF5"/>
    <w:rsid w:val="00EF0FB9"/>
    <w:rsid w:val="00EF5D71"/>
    <w:rsid w:val="00EF7165"/>
    <w:rsid w:val="00F1004F"/>
    <w:rsid w:val="00F1055D"/>
    <w:rsid w:val="00F21740"/>
    <w:rsid w:val="00F22FA1"/>
    <w:rsid w:val="00F253C4"/>
    <w:rsid w:val="00F34612"/>
    <w:rsid w:val="00F42B54"/>
    <w:rsid w:val="00F45A3B"/>
    <w:rsid w:val="00F46282"/>
    <w:rsid w:val="00F5497B"/>
    <w:rsid w:val="00F55FFE"/>
    <w:rsid w:val="00F844CB"/>
    <w:rsid w:val="00FA3D7B"/>
    <w:rsid w:val="00FD2221"/>
    <w:rsid w:val="00FD4A11"/>
    <w:rsid w:val="00FD5B95"/>
    <w:rsid w:val="00FF19AF"/>
    <w:rsid w:val="01377370"/>
    <w:rsid w:val="022E3BB4"/>
    <w:rsid w:val="03F5D8A2"/>
    <w:rsid w:val="04E47F84"/>
    <w:rsid w:val="0534922B"/>
    <w:rsid w:val="08C6FB8D"/>
    <w:rsid w:val="0D9798DD"/>
    <w:rsid w:val="0DED8943"/>
    <w:rsid w:val="13F52FA1"/>
    <w:rsid w:val="1763403B"/>
    <w:rsid w:val="1E115D40"/>
    <w:rsid w:val="21F0F4E4"/>
    <w:rsid w:val="27A6308C"/>
    <w:rsid w:val="2F6D5B00"/>
    <w:rsid w:val="33FA531F"/>
    <w:rsid w:val="3A1D62EA"/>
    <w:rsid w:val="3B69E6E2"/>
    <w:rsid w:val="3C8DB19F"/>
    <w:rsid w:val="3E0A573A"/>
    <w:rsid w:val="3E6246D0"/>
    <w:rsid w:val="408B12C1"/>
    <w:rsid w:val="461BC71D"/>
    <w:rsid w:val="463F73FB"/>
    <w:rsid w:val="4682816F"/>
    <w:rsid w:val="47B252EE"/>
    <w:rsid w:val="47CB03B5"/>
    <w:rsid w:val="48104BFF"/>
    <w:rsid w:val="494849D2"/>
    <w:rsid w:val="4A1C45A0"/>
    <w:rsid w:val="5500E9B9"/>
    <w:rsid w:val="57874A13"/>
    <w:rsid w:val="58F1F5B1"/>
    <w:rsid w:val="611DD9E7"/>
    <w:rsid w:val="613B696C"/>
    <w:rsid w:val="620FAA02"/>
    <w:rsid w:val="63E4A37A"/>
    <w:rsid w:val="651D47F1"/>
    <w:rsid w:val="6598D0F6"/>
    <w:rsid w:val="65DD766E"/>
    <w:rsid w:val="681A03E5"/>
    <w:rsid w:val="6EAC437A"/>
    <w:rsid w:val="79757CDB"/>
    <w:rsid w:val="7B2ACCC9"/>
    <w:rsid w:val="7C745F83"/>
    <w:rsid w:val="7E27D01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20E17"/>
  <w15:chartTrackingRefBased/>
  <w15:docId w15:val="{0BFB1E1E-6144-4E8A-BF56-6EAE4FBC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1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1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16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16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3D16D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3D16DF"/>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3D16DF"/>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3D16DF"/>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3D16DF"/>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16D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16D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16D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3D16D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3D16D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3D16D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3D16D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3D16D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3D16D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3D16D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16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16D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16D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3D16D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D16DF"/>
    <w:rPr>
      <w:i/>
      <w:iCs/>
      <w:color w:val="404040" w:themeColor="text1" w:themeTint="BF"/>
    </w:rPr>
  </w:style>
  <w:style w:type="paragraph" w:styleId="Paragraphedeliste">
    <w:name w:val="List Paragraph"/>
    <w:basedOn w:val="Normal"/>
    <w:qFormat/>
    <w:rsid w:val="003D16DF"/>
    <w:pPr>
      <w:ind w:left="720"/>
      <w:contextualSpacing/>
    </w:pPr>
  </w:style>
  <w:style w:type="character" w:styleId="Accentuationintense">
    <w:name w:val="Intense Emphasis"/>
    <w:basedOn w:val="Policepardfaut"/>
    <w:uiPriority w:val="21"/>
    <w:qFormat/>
    <w:rsid w:val="003D16DF"/>
    <w:rPr>
      <w:i/>
      <w:iCs/>
      <w:color w:val="0F4761" w:themeColor="accent1" w:themeShade="BF"/>
    </w:rPr>
  </w:style>
  <w:style w:type="paragraph" w:styleId="Citationintense">
    <w:name w:val="Intense Quote"/>
    <w:basedOn w:val="Normal"/>
    <w:next w:val="Normal"/>
    <w:link w:val="CitationintenseCar"/>
    <w:uiPriority w:val="30"/>
    <w:qFormat/>
    <w:rsid w:val="003D1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16DF"/>
    <w:rPr>
      <w:i/>
      <w:iCs/>
      <w:color w:val="0F4761" w:themeColor="accent1" w:themeShade="BF"/>
    </w:rPr>
  </w:style>
  <w:style w:type="character" w:styleId="Rfrenceintense">
    <w:name w:val="Intense Reference"/>
    <w:basedOn w:val="Policepardfaut"/>
    <w:uiPriority w:val="32"/>
    <w:qFormat/>
    <w:rsid w:val="003D16DF"/>
    <w:rPr>
      <w:b/>
      <w:bCs/>
      <w:smallCaps/>
      <w:color w:val="0F4761" w:themeColor="accent1" w:themeShade="BF"/>
      <w:spacing w:val="5"/>
    </w:rPr>
  </w:style>
  <w:style w:type="paragraph" w:styleId="En-tte">
    <w:name w:val="header"/>
    <w:basedOn w:val="Normal"/>
    <w:link w:val="En-tteCar"/>
    <w:uiPriority w:val="99"/>
    <w:unhideWhenUsed/>
    <w:rsid w:val="003D16DF"/>
    <w:pPr>
      <w:tabs>
        <w:tab w:val="center" w:pos="4536"/>
        <w:tab w:val="right" w:pos="9072"/>
      </w:tabs>
    </w:pPr>
  </w:style>
  <w:style w:type="character" w:customStyle="1" w:styleId="En-tteCar">
    <w:name w:val="En-tête Car"/>
    <w:basedOn w:val="Policepardfaut"/>
    <w:link w:val="En-tte"/>
    <w:uiPriority w:val="99"/>
    <w:rsid w:val="003D16DF"/>
  </w:style>
  <w:style w:type="paragraph" w:styleId="Pieddepage">
    <w:name w:val="footer"/>
    <w:basedOn w:val="Normal"/>
    <w:link w:val="PieddepageCar"/>
    <w:uiPriority w:val="99"/>
    <w:unhideWhenUsed/>
    <w:rsid w:val="003D16DF"/>
    <w:pPr>
      <w:tabs>
        <w:tab w:val="center" w:pos="4536"/>
        <w:tab w:val="right" w:pos="9072"/>
      </w:tabs>
    </w:pPr>
  </w:style>
  <w:style w:type="character" w:customStyle="1" w:styleId="PieddepageCar">
    <w:name w:val="Pied de page Car"/>
    <w:basedOn w:val="Policepardfaut"/>
    <w:link w:val="Pieddepage"/>
    <w:uiPriority w:val="99"/>
    <w:rsid w:val="003D16DF"/>
  </w:style>
  <w:style w:type="table" w:styleId="Grilledutableau">
    <w:name w:val="Table Grid"/>
    <w:basedOn w:val="TableauNormal"/>
    <w:uiPriority w:val="39"/>
    <w:rsid w:val="006D6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A7208"/>
    <w:rPr>
      <w:color w:val="467886" w:themeColor="hyperlink"/>
      <w:u w:val="single"/>
    </w:rPr>
  </w:style>
  <w:style w:type="character" w:styleId="Mentionnonrsolue">
    <w:name w:val="Unresolved Mention"/>
    <w:basedOn w:val="Policepardfaut"/>
    <w:uiPriority w:val="99"/>
    <w:semiHidden/>
    <w:unhideWhenUsed/>
    <w:rsid w:val="00DA7208"/>
    <w:rPr>
      <w:color w:val="605E5C"/>
      <w:shd w:val="clear" w:color="auto" w:fill="E1DFDD"/>
    </w:rPr>
  </w:style>
  <w:style w:type="paragraph" w:styleId="Notedebasdepage">
    <w:name w:val="footnote text"/>
    <w:basedOn w:val="Normal"/>
    <w:link w:val="NotedebasdepageCar"/>
    <w:uiPriority w:val="99"/>
    <w:semiHidden/>
    <w:unhideWhenUsed/>
    <w:rsid w:val="002F2000"/>
    <w:rPr>
      <w:sz w:val="20"/>
      <w:szCs w:val="20"/>
    </w:rPr>
  </w:style>
  <w:style w:type="character" w:customStyle="1" w:styleId="NotedebasdepageCar">
    <w:name w:val="Note de bas de page Car"/>
    <w:basedOn w:val="Policepardfaut"/>
    <w:link w:val="Notedebasdepage"/>
    <w:uiPriority w:val="99"/>
    <w:semiHidden/>
    <w:rsid w:val="002F2000"/>
    <w:rPr>
      <w:sz w:val="20"/>
      <w:szCs w:val="20"/>
    </w:rPr>
  </w:style>
  <w:style w:type="character" w:styleId="Appelnotedebasdep">
    <w:name w:val="footnote reference"/>
    <w:basedOn w:val="Policepardfaut"/>
    <w:uiPriority w:val="99"/>
    <w:semiHidden/>
    <w:unhideWhenUsed/>
    <w:rsid w:val="002F2000"/>
    <w:rPr>
      <w:vertAlign w:val="superscript"/>
    </w:rPr>
  </w:style>
  <w:style w:type="character" w:styleId="Marquedecommentaire">
    <w:name w:val="annotation reference"/>
    <w:basedOn w:val="Policepardfaut"/>
    <w:uiPriority w:val="99"/>
    <w:semiHidden/>
    <w:unhideWhenUsed/>
    <w:rsid w:val="00D22972"/>
    <w:rPr>
      <w:sz w:val="16"/>
      <w:szCs w:val="16"/>
    </w:rPr>
  </w:style>
  <w:style w:type="paragraph" w:styleId="Commentaire">
    <w:name w:val="annotation text"/>
    <w:basedOn w:val="Normal"/>
    <w:link w:val="CommentaireCar"/>
    <w:uiPriority w:val="99"/>
    <w:unhideWhenUsed/>
    <w:rsid w:val="00D22972"/>
    <w:rPr>
      <w:sz w:val="20"/>
      <w:szCs w:val="20"/>
    </w:rPr>
  </w:style>
  <w:style w:type="character" w:customStyle="1" w:styleId="CommentaireCar">
    <w:name w:val="Commentaire Car"/>
    <w:basedOn w:val="Policepardfaut"/>
    <w:link w:val="Commentaire"/>
    <w:uiPriority w:val="99"/>
    <w:rsid w:val="00D22972"/>
    <w:rPr>
      <w:sz w:val="20"/>
      <w:szCs w:val="20"/>
    </w:rPr>
  </w:style>
  <w:style w:type="paragraph" w:styleId="Objetducommentaire">
    <w:name w:val="annotation subject"/>
    <w:basedOn w:val="Commentaire"/>
    <w:next w:val="Commentaire"/>
    <w:link w:val="ObjetducommentaireCar"/>
    <w:uiPriority w:val="99"/>
    <w:semiHidden/>
    <w:unhideWhenUsed/>
    <w:rsid w:val="00D22972"/>
    <w:rPr>
      <w:b/>
      <w:bCs/>
    </w:rPr>
  </w:style>
  <w:style w:type="character" w:customStyle="1" w:styleId="ObjetducommentaireCar">
    <w:name w:val="Objet du commentaire Car"/>
    <w:basedOn w:val="CommentaireCar"/>
    <w:link w:val="Objetducommentaire"/>
    <w:uiPriority w:val="99"/>
    <w:semiHidden/>
    <w:rsid w:val="00D22972"/>
    <w:rPr>
      <w:b/>
      <w:bCs/>
      <w:sz w:val="20"/>
      <w:szCs w:val="20"/>
    </w:rPr>
  </w:style>
  <w:style w:type="paragraph" w:styleId="Rvision">
    <w:name w:val="Revision"/>
    <w:hidden/>
    <w:uiPriority w:val="99"/>
    <w:semiHidden/>
    <w:rsid w:val="00975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0991">
      <w:bodyDiv w:val="1"/>
      <w:marLeft w:val="0"/>
      <w:marRight w:val="0"/>
      <w:marTop w:val="0"/>
      <w:marBottom w:val="0"/>
      <w:divBdr>
        <w:top w:val="none" w:sz="0" w:space="0" w:color="auto"/>
        <w:left w:val="none" w:sz="0" w:space="0" w:color="auto"/>
        <w:bottom w:val="none" w:sz="0" w:space="0" w:color="auto"/>
        <w:right w:val="none" w:sz="0" w:space="0" w:color="auto"/>
      </w:divBdr>
    </w:div>
    <w:div w:id="203371772">
      <w:bodyDiv w:val="1"/>
      <w:marLeft w:val="0"/>
      <w:marRight w:val="0"/>
      <w:marTop w:val="0"/>
      <w:marBottom w:val="0"/>
      <w:divBdr>
        <w:top w:val="none" w:sz="0" w:space="0" w:color="auto"/>
        <w:left w:val="none" w:sz="0" w:space="0" w:color="auto"/>
        <w:bottom w:val="none" w:sz="0" w:space="0" w:color="auto"/>
        <w:right w:val="none" w:sz="0" w:space="0" w:color="auto"/>
      </w:divBdr>
    </w:div>
    <w:div w:id="317805410">
      <w:bodyDiv w:val="1"/>
      <w:marLeft w:val="0"/>
      <w:marRight w:val="0"/>
      <w:marTop w:val="0"/>
      <w:marBottom w:val="0"/>
      <w:divBdr>
        <w:top w:val="none" w:sz="0" w:space="0" w:color="auto"/>
        <w:left w:val="none" w:sz="0" w:space="0" w:color="auto"/>
        <w:bottom w:val="none" w:sz="0" w:space="0" w:color="auto"/>
        <w:right w:val="none" w:sz="0" w:space="0" w:color="auto"/>
      </w:divBdr>
    </w:div>
    <w:div w:id="353383871">
      <w:bodyDiv w:val="1"/>
      <w:marLeft w:val="0"/>
      <w:marRight w:val="0"/>
      <w:marTop w:val="0"/>
      <w:marBottom w:val="0"/>
      <w:divBdr>
        <w:top w:val="none" w:sz="0" w:space="0" w:color="auto"/>
        <w:left w:val="none" w:sz="0" w:space="0" w:color="auto"/>
        <w:bottom w:val="none" w:sz="0" w:space="0" w:color="auto"/>
        <w:right w:val="none" w:sz="0" w:space="0" w:color="auto"/>
      </w:divBdr>
    </w:div>
    <w:div w:id="475880261">
      <w:bodyDiv w:val="1"/>
      <w:marLeft w:val="0"/>
      <w:marRight w:val="0"/>
      <w:marTop w:val="0"/>
      <w:marBottom w:val="0"/>
      <w:divBdr>
        <w:top w:val="none" w:sz="0" w:space="0" w:color="auto"/>
        <w:left w:val="none" w:sz="0" w:space="0" w:color="auto"/>
        <w:bottom w:val="none" w:sz="0" w:space="0" w:color="auto"/>
        <w:right w:val="none" w:sz="0" w:space="0" w:color="auto"/>
      </w:divBdr>
      <w:divsChild>
        <w:div w:id="1391079451">
          <w:marLeft w:val="0"/>
          <w:marRight w:val="0"/>
          <w:marTop w:val="0"/>
          <w:marBottom w:val="0"/>
          <w:divBdr>
            <w:top w:val="none" w:sz="0" w:space="0" w:color="auto"/>
            <w:left w:val="none" w:sz="0" w:space="0" w:color="auto"/>
            <w:bottom w:val="none" w:sz="0" w:space="0" w:color="auto"/>
            <w:right w:val="none" w:sz="0" w:space="0" w:color="auto"/>
          </w:divBdr>
          <w:divsChild>
            <w:div w:id="609704491">
              <w:marLeft w:val="0"/>
              <w:marRight w:val="0"/>
              <w:marTop w:val="0"/>
              <w:marBottom w:val="0"/>
              <w:divBdr>
                <w:top w:val="none" w:sz="0" w:space="0" w:color="auto"/>
                <w:left w:val="none" w:sz="0" w:space="0" w:color="auto"/>
                <w:bottom w:val="none" w:sz="0" w:space="0" w:color="auto"/>
                <w:right w:val="none" w:sz="0" w:space="0" w:color="auto"/>
              </w:divBdr>
              <w:divsChild>
                <w:div w:id="1865896059">
                  <w:marLeft w:val="0"/>
                  <w:marRight w:val="0"/>
                  <w:marTop w:val="0"/>
                  <w:marBottom w:val="0"/>
                  <w:divBdr>
                    <w:top w:val="none" w:sz="0" w:space="0" w:color="auto"/>
                    <w:left w:val="none" w:sz="0" w:space="0" w:color="auto"/>
                    <w:bottom w:val="none" w:sz="0" w:space="0" w:color="auto"/>
                    <w:right w:val="none" w:sz="0" w:space="0" w:color="auto"/>
                  </w:divBdr>
                  <w:divsChild>
                    <w:div w:id="1617324956">
                      <w:marLeft w:val="0"/>
                      <w:marRight w:val="0"/>
                      <w:marTop w:val="0"/>
                      <w:marBottom w:val="0"/>
                      <w:divBdr>
                        <w:top w:val="none" w:sz="0" w:space="0" w:color="auto"/>
                        <w:left w:val="none" w:sz="0" w:space="0" w:color="auto"/>
                        <w:bottom w:val="none" w:sz="0" w:space="0" w:color="auto"/>
                        <w:right w:val="none" w:sz="0" w:space="0" w:color="auto"/>
                      </w:divBdr>
                      <w:divsChild>
                        <w:div w:id="757678020">
                          <w:marLeft w:val="0"/>
                          <w:marRight w:val="0"/>
                          <w:marTop w:val="0"/>
                          <w:marBottom w:val="0"/>
                          <w:divBdr>
                            <w:top w:val="none" w:sz="0" w:space="0" w:color="auto"/>
                            <w:left w:val="none" w:sz="0" w:space="0" w:color="auto"/>
                            <w:bottom w:val="none" w:sz="0" w:space="0" w:color="auto"/>
                            <w:right w:val="none" w:sz="0" w:space="0" w:color="auto"/>
                          </w:divBdr>
                          <w:divsChild>
                            <w:div w:id="819420655">
                              <w:marLeft w:val="0"/>
                              <w:marRight w:val="0"/>
                              <w:marTop w:val="0"/>
                              <w:marBottom w:val="0"/>
                              <w:divBdr>
                                <w:top w:val="none" w:sz="0" w:space="0" w:color="auto"/>
                                <w:left w:val="none" w:sz="0" w:space="0" w:color="auto"/>
                                <w:bottom w:val="none" w:sz="0" w:space="0" w:color="auto"/>
                                <w:right w:val="none" w:sz="0" w:space="0" w:color="auto"/>
                              </w:divBdr>
                              <w:divsChild>
                                <w:div w:id="774983200">
                                  <w:marLeft w:val="0"/>
                                  <w:marRight w:val="0"/>
                                  <w:marTop w:val="0"/>
                                  <w:marBottom w:val="0"/>
                                  <w:divBdr>
                                    <w:top w:val="none" w:sz="0" w:space="0" w:color="auto"/>
                                    <w:left w:val="none" w:sz="0" w:space="0" w:color="auto"/>
                                    <w:bottom w:val="none" w:sz="0" w:space="0" w:color="auto"/>
                                    <w:right w:val="none" w:sz="0" w:space="0" w:color="auto"/>
                                  </w:divBdr>
                                  <w:divsChild>
                                    <w:div w:id="1778400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951434">
      <w:bodyDiv w:val="1"/>
      <w:marLeft w:val="0"/>
      <w:marRight w:val="0"/>
      <w:marTop w:val="0"/>
      <w:marBottom w:val="0"/>
      <w:divBdr>
        <w:top w:val="none" w:sz="0" w:space="0" w:color="auto"/>
        <w:left w:val="none" w:sz="0" w:space="0" w:color="auto"/>
        <w:bottom w:val="none" w:sz="0" w:space="0" w:color="auto"/>
        <w:right w:val="none" w:sz="0" w:space="0" w:color="auto"/>
      </w:divBdr>
    </w:div>
    <w:div w:id="761729599">
      <w:bodyDiv w:val="1"/>
      <w:marLeft w:val="0"/>
      <w:marRight w:val="0"/>
      <w:marTop w:val="0"/>
      <w:marBottom w:val="0"/>
      <w:divBdr>
        <w:top w:val="none" w:sz="0" w:space="0" w:color="auto"/>
        <w:left w:val="none" w:sz="0" w:space="0" w:color="auto"/>
        <w:bottom w:val="none" w:sz="0" w:space="0" w:color="auto"/>
        <w:right w:val="none" w:sz="0" w:space="0" w:color="auto"/>
      </w:divBdr>
      <w:divsChild>
        <w:div w:id="1714572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053349">
      <w:bodyDiv w:val="1"/>
      <w:marLeft w:val="0"/>
      <w:marRight w:val="0"/>
      <w:marTop w:val="0"/>
      <w:marBottom w:val="0"/>
      <w:divBdr>
        <w:top w:val="none" w:sz="0" w:space="0" w:color="auto"/>
        <w:left w:val="none" w:sz="0" w:space="0" w:color="auto"/>
        <w:bottom w:val="none" w:sz="0" w:space="0" w:color="auto"/>
        <w:right w:val="none" w:sz="0" w:space="0" w:color="auto"/>
      </w:divBdr>
      <w:divsChild>
        <w:div w:id="4801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140392">
      <w:bodyDiv w:val="1"/>
      <w:marLeft w:val="0"/>
      <w:marRight w:val="0"/>
      <w:marTop w:val="0"/>
      <w:marBottom w:val="0"/>
      <w:divBdr>
        <w:top w:val="none" w:sz="0" w:space="0" w:color="auto"/>
        <w:left w:val="none" w:sz="0" w:space="0" w:color="auto"/>
        <w:bottom w:val="none" w:sz="0" w:space="0" w:color="auto"/>
        <w:right w:val="none" w:sz="0" w:space="0" w:color="auto"/>
      </w:divBdr>
    </w:div>
    <w:div w:id="1091245209">
      <w:bodyDiv w:val="1"/>
      <w:marLeft w:val="0"/>
      <w:marRight w:val="0"/>
      <w:marTop w:val="0"/>
      <w:marBottom w:val="0"/>
      <w:divBdr>
        <w:top w:val="none" w:sz="0" w:space="0" w:color="auto"/>
        <w:left w:val="none" w:sz="0" w:space="0" w:color="auto"/>
        <w:bottom w:val="none" w:sz="0" w:space="0" w:color="auto"/>
        <w:right w:val="none" w:sz="0" w:space="0" w:color="auto"/>
      </w:divBdr>
    </w:div>
    <w:div w:id="1171260518">
      <w:bodyDiv w:val="1"/>
      <w:marLeft w:val="0"/>
      <w:marRight w:val="0"/>
      <w:marTop w:val="0"/>
      <w:marBottom w:val="0"/>
      <w:divBdr>
        <w:top w:val="none" w:sz="0" w:space="0" w:color="auto"/>
        <w:left w:val="none" w:sz="0" w:space="0" w:color="auto"/>
        <w:bottom w:val="none" w:sz="0" w:space="0" w:color="auto"/>
        <w:right w:val="none" w:sz="0" w:space="0" w:color="auto"/>
      </w:divBdr>
    </w:div>
    <w:div w:id="1214587087">
      <w:bodyDiv w:val="1"/>
      <w:marLeft w:val="0"/>
      <w:marRight w:val="0"/>
      <w:marTop w:val="0"/>
      <w:marBottom w:val="0"/>
      <w:divBdr>
        <w:top w:val="none" w:sz="0" w:space="0" w:color="auto"/>
        <w:left w:val="none" w:sz="0" w:space="0" w:color="auto"/>
        <w:bottom w:val="none" w:sz="0" w:space="0" w:color="auto"/>
        <w:right w:val="none" w:sz="0" w:space="0" w:color="auto"/>
      </w:divBdr>
      <w:divsChild>
        <w:div w:id="1384519610">
          <w:marLeft w:val="0"/>
          <w:marRight w:val="0"/>
          <w:marTop w:val="0"/>
          <w:marBottom w:val="0"/>
          <w:divBdr>
            <w:top w:val="none" w:sz="0" w:space="0" w:color="auto"/>
            <w:left w:val="none" w:sz="0" w:space="0" w:color="auto"/>
            <w:bottom w:val="none" w:sz="0" w:space="0" w:color="auto"/>
            <w:right w:val="none" w:sz="0" w:space="0" w:color="auto"/>
          </w:divBdr>
          <w:divsChild>
            <w:div w:id="487017383">
              <w:marLeft w:val="0"/>
              <w:marRight w:val="0"/>
              <w:marTop w:val="0"/>
              <w:marBottom w:val="0"/>
              <w:divBdr>
                <w:top w:val="none" w:sz="0" w:space="0" w:color="auto"/>
                <w:left w:val="none" w:sz="0" w:space="0" w:color="auto"/>
                <w:bottom w:val="none" w:sz="0" w:space="0" w:color="auto"/>
                <w:right w:val="none" w:sz="0" w:space="0" w:color="auto"/>
              </w:divBdr>
              <w:divsChild>
                <w:div w:id="905605726">
                  <w:marLeft w:val="0"/>
                  <w:marRight w:val="0"/>
                  <w:marTop w:val="0"/>
                  <w:marBottom w:val="0"/>
                  <w:divBdr>
                    <w:top w:val="none" w:sz="0" w:space="0" w:color="auto"/>
                    <w:left w:val="none" w:sz="0" w:space="0" w:color="auto"/>
                    <w:bottom w:val="none" w:sz="0" w:space="0" w:color="auto"/>
                    <w:right w:val="none" w:sz="0" w:space="0" w:color="auto"/>
                  </w:divBdr>
                  <w:divsChild>
                    <w:div w:id="1429889659">
                      <w:marLeft w:val="0"/>
                      <w:marRight w:val="0"/>
                      <w:marTop w:val="0"/>
                      <w:marBottom w:val="0"/>
                      <w:divBdr>
                        <w:top w:val="none" w:sz="0" w:space="0" w:color="auto"/>
                        <w:left w:val="none" w:sz="0" w:space="0" w:color="auto"/>
                        <w:bottom w:val="none" w:sz="0" w:space="0" w:color="auto"/>
                        <w:right w:val="none" w:sz="0" w:space="0" w:color="auto"/>
                      </w:divBdr>
                      <w:divsChild>
                        <w:div w:id="123740148">
                          <w:marLeft w:val="0"/>
                          <w:marRight w:val="0"/>
                          <w:marTop w:val="0"/>
                          <w:marBottom w:val="0"/>
                          <w:divBdr>
                            <w:top w:val="none" w:sz="0" w:space="0" w:color="auto"/>
                            <w:left w:val="none" w:sz="0" w:space="0" w:color="auto"/>
                            <w:bottom w:val="none" w:sz="0" w:space="0" w:color="auto"/>
                            <w:right w:val="none" w:sz="0" w:space="0" w:color="auto"/>
                          </w:divBdr>
                          <w:divsChild>
                            <w:div w:id="1568958915">
                              <w:marLeft w:val="0"/>
                              <w:marRight w:val="0"/>
                              <w:marTop w:val="0"/>
                              <w:marBottom w:val="0"/>
                              <w:divBdr>
                                <w:top w:val="none" w:sz="0" w:space="0" w:color="auto"/>
                                <w:left w:val="none" w:sz="0" w:space="0" w:color="auto"/>
                                <w:bottom w:val="none" w:sz="0" w:space="0" w:color="auto"/>
                                <w:right w:val="none" w:sz="0" w:space="0" w:color="auto"/>
                              </w:divBdr>
                              <w:divsChild>
                                <w:div w:id="2116167058">
                                  <w:marLeft w:val="0"/>
                                  <w:marRight w:val="0"/>
                                  <w:marTop w:val="0"/>
                                  <w:marBottom w:val="0"/>
                                  <w:divBdr>
                                    <w:top w:val="none" w:sz="0" w:space="0" w:color="auto"/>
                                    <w:left w:val="none" w:sz="0" w:space="0" w:color="auto"/>
                                    <w:bottom w:val="none" w:sz="0" w:space="0" w:color="auto"/>
                                    <w:right w:val="none" w:sz="0" w:space="0" w:color="auto"/>
                                  </w:divBdr>
                                  <w:divsChild>
                                    <w:div w:id="2029214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146195">
      <w:bodyDiv w:val="1"/>
      <w:marLeft w:val="0"/>
      <w:marRight w:val="0"/>
      <w:marTop w:val="0"/>
      <w:marBottom w:val="0"/>
      <w:divBdr>
        <w:top w:val="none" w:sz="0" w:space="0" w:color="auto"/>
        <w:left w:val="none" w:sz="0" w:space="0" w:color="auto"/>
        <w:bottom w:val="none" w:sz="0" w:space="0" w:color="auto"/>
        <w:right w:val="none" w:sz="0" w:space="0" w:color="auto"/>
      </w:divBdr>
      <w:divsChild>
        <w:div w:id="853493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780028">
      <w:bodyDiv w:val="1"/>
      <w:marLeft w:val="0"/>
      <w:marRight w:val="0"/>
      <w:marTop w:val="0"/>
      <w:marBottom w:val="0"/>
      <w:divBdr>
        <w:top w:val="none" w:sz="0" w:space="0" w:color="auto"/>
        <w:left w:val="none" w:sz="0" w:space="0" w:color="auto"/>
        <w:bottom w:val="none" w:sz="0" w:space="0" w:color="auto"/>
        <w:right w:val="none" w:sz="0" w:space="0" w:color="auto"/>
      </w:divBdr>
    </w:div>
    <w:div w:id="1941176363">
      <w:bodyDiv w:val="1"/>
      <w:marLeft w:val="0"/>
      <w:marRight w:val="0"/>
      <w:marTop w:val="0"/>
      <w:marBottom w:val="0"/>
      <w:divBdr>
        <w:top w:val="none" w:sz="0" w:space="0" w:color="auto"/>
        <w:left w:val="none" w:sz="0" w:space="0" w:color="auto"/>
        <w:bottom w:val="none" w:sz="0" w:space="0" w:color="auto"/>
        <w:right w:val="none" w:sz="0" w:space="0" w:color="auto"/>
      </w:divBdr>
    </w:div>
    <w:div w:id="2103137837">
      <w:bodyDiv w:val="1"/>
      <w:marLeft w:val="0"/>
      <w:marRight w:val="0"/>
      <w:marTop w:val="0"/>
      <w:marBottom w:val="0"/>
      <w:divBdr>
        <w:top w:val="none" w:sz="0" w:space="0" w:color="auto"/>
        <w:left w:val="none" w:sz="0" w:space="0" w:color="auto"/>
        <w:bottom w:val="none" w:sz="0" w:space="0" w:color="auto"/>
        <w:right w:val="none" w:sz="0" w:space="0" w:color="auto"/>
      </w:divBdr>
      <w:divsChild>
        <w:div w:id="1089158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sdemarches.iledefrance.fr/"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a77066-4083-49b4-b8bd-6b6ef50533f3" xsi:nil="true"/>
    <lcf76f155ced4ddcb4097134ff3c332f xmlns="d7d18461-03fd-419d-b7ce-681595cba4f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72C5CB0F074C44B8260FC89DE0991C" ma:contentTypeVersion="14" ma:contentTypeDescription="Crée un document." ma:contentTypeScope="" ma:versionID="52c8be3561f08d0708e05b0ed0689804">
  <xsd:schema xmlns:xsd="http://www.w3.org/2001/XMLSchema" xmlns:xs="http://www.w3.org/2001/XMLSchema" xmlns:p="http://schemas.microsoft.com/office/2006/metadata/properties" xmlns:ns2="d7d18461-03fd-419d-b7ce-681595cba4fe" xmlns:ns3="1ba77066-4083-49b4-b8bd-6b6ef50533f3" targetNamespace="http://schemas.microsoft.com/office/2006/metadata/properties" ma:root="true" ma:fieldsID="01fa5d6938cdfe23c667fe2a8ee25a16" ns2:_="" ns3:_="">
    <xsd:import namespace="d7d18461-03fd-419d-b7ce-681595cba4fe"/>
    <xsd:import namespace="1ba77066-4083-49b4-b8bd-6b6ef5053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18461-03fd-419d-b7ce-681595cba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5a18d8d6-1e9f-4467-8645-656d059edf3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a77066-4083-49b4-b8bd-6b6ef50533f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9ed00f6b-ee85-45c9-9974-351ea4019c42}" ma:internalName="TaxCatchAll" ma:showField="CatchAllData" ma:web="1ba77066-4083-49b4-b8bd-6b6ef5053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279530-E74D-4848-A2B0-C2299377560E}">
  <ds:schemaRefs>
    <ds:schemaRef ds:uri="http://schemas.openxmlformats.org/officeDocument/2006/bibliography"/>
  </ds:schemaRefs>
</ds:datastoreItem>
</file>

<file path=customXml/itemProps2.xml><?xml version="1.0" encoding="utf-8"?>
<ds:datastoreItem xmlns:ds="http://schemas.openxmlformats.org/officeDocument/2006/customXml" ds:itemID="{80A0F24E-9E0A-4811-BB6F-F24BE3EC1495}">
  <ds:schemaRefs>
    <ds:schemaRef ds:uri="http://schemas.microsoft.com/sharepoint/v3/contenttype/forms"/>
  </ds:schemaRefs>
</ds:datastoreItem>
</file>

<file path=customXml/itemProps3.xml><?xml version="1.0" encoding="utf-8"?>
<ds:datastoreItem xmlns:ds="http://schemas.openxmlformats.org/officeDocument/2006/customXml" ds:itemID="{4B5440F1-F71F-4E28-9517-65943FB69B1D}">
  <ds:schemaRefs>
    <ds:schemaRef ds:uri="http://schemas.microsoft.com/office/2006/metadata/properties"/>
    <ds:schemaRef ds:uri="http://schemas.microsoft.com/office/infopath/2007/PartnerControls"/>
    <ds:schemaRef ds:uri="1ba77066-4083-49b4-b8bd-6b6ef50533f3"/>
    <ds:schemaRef ds:uri="d7d18461-03fd-419d-b7ce-681595cba4fe"/>
  </ds:schemaRefs>
</ds:datastoreItem>
</file>

<file path=customXml/itemProps4.xml><?xml version="1.0" encoding="utf-8"?>
<ds:datastoreItem xmlns:ds="http://schemas.openxmlformats.org/officeDocument/2006/customXml" ds:itemID="{47CB2C58-5EC3-4E5B-A5E3-A868A801F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18461-03fd-419d-b7ce-681595cba4fe"/>
    <ds:schemaRef ds:uri="1ba77066-4083-49b4-b8bd-6b6ef5053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119</TotalTime>
  <Pages>9</Pages>
  <Words>2678</Words>
  <Characters>14735</Characters>
  <Application>Microsoft Office Word</Application>
  <DocSecurity>0</DocSecurity>
  <Lines>122</Lines>
  <Paragraphs>34</Paragraphs>
  <ScaleCrop>false</ScaleCrop>
  <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PLUCHARD Bastien</dc:creator>
  <cp:keywords/>
  <dc:description/>
  <cp:lastModifiedBy>PLUCHARD Bastien</cp:lastModifiedBy>
  <cp:revision>83</cp:revision>
  <dcterms:created xsi:type="dcterms:W3CDTF">2026-04-29T06:38:00Z</dcterms:created>
  <dcterms:modified xsi:type="dcterms:W3CDTF">2026-05-07T13:18:00Z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0x0101007872C5CB0F074C44B8260FC89DE0991C</vt:lpwstr>
  </property>
  <property fmtid="{D5CDD505-2E9C-101B-9397-08002B2CF9AE}" pid="3" name="MediaServiceImageTags">
    <vt:lpwstr/>
  </property>
</Properties>
</file>