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ED5D7" w14:textId="22068F39" w:rsidR="00EE775C" w:rsidRDefault="00EE775C" w:rsidP="00451D36">
      <w:pPr>
        <w:spacing w:after="0" w:line="240" w:lineRule="auto"/>
        <w:jc w:val="center"/>
        <w:rPr>
          <w:color w:val="17365D" w:themeColor="text2" w:themeShade="BF"/>
          <w:sz w:val="36"/>
          <w:szCs w:val="36"/>
          <w:u w:val="single"/>
        </w:rPr>
      </w:pPr>
      <w:r>
        <w:rPr>
          <w:color w:val="17365D" w:themeColor="text2" w:themeShade="BF"/>
          <w:sz w:val="36"/>
          <w:szCs w:val="36"/>
          <w:u w:val="single"/>
        </w:rPr>
        <w:t xml:space="preserve">Annexe X à la </w:t>
      </w:r>
      <w:r w:rsidR="00E05CAA">
        <w:rPr>
          <w:color w:val="17365D" w:themeColor="text2" w:themeShade="BF"/>
          <w:sz w:val="36"/>
          <w:szCs w:val="36"/>
          <w:u w:val="single"/>
        </w:rPr>
        <w:t xml:space="preserve">décision </w:t>
      </w:r>
      <w:r>
        <w:rPr>
          <w:color w:val="17365D" w:themeColor="text2" w:themeShade="BF"/>
          <w:sz w:val="36"/>
          <w:szCs w:val="36"/>
          <w:u w:val="single"/>
        </w:rPr>
        <w:t>attributive</w:t>
      </w:r>
      <w:r w:rsidR="00BE59FC">
        <w:rPr>
          <w:color w:val="17365D" w:themeColor="text2" w:themeShade="BF"/>
          <w:sz w:val="36"/>
          <w:szCs w:val="36"/>
          <w:u w:val="single"/>
        </w:rPr>
        <w:t xml:space="preserve"> d’aide n° XXX</w:t>
      </w:r>
      <w:r w:rsidR="006B04F1">
        <w:rPr>
          <w:color w:val="17365D" w:themeColor="text2" w:themeShade="BF"/>
          <w:sz w:val="36"/>
          <w:szCs w:val="36"/>
          <w:u w:val="single"/>
        </w:rPr>
        <w:t xml:space="preserve"> relati</w:t>
      </w:r>
      <w:r w:rsidR="00B3396B">
        <w:rPr>
          <w:color w:val="17365D" w:themeColor="text2" w:themeShade="BF"/>
          <w:sz w:val="36"/>
          <w:szCs w:val="36"/>
          <w:u w:val="single"/>
        </w:rPr>
        <w:t>ve</w:t>
      </w:r>
      <w:r w:rsidR="006B04F1">
        <w:rPr>
          <w:color w:val="17365D" w:themeColor="text2" w:themeShade="BF"/>
          <w:sz w:val="36"/>
          <w:szCs w:val="36"/>
          <w:u w:val="single"/>
        </w:rPr>
        <w:t xml:space="preserve"> aux </w:t>
      </w:r>
    </w:p>
    <w:p w14:paraId="623249BA" w14:textId="321A64BC" w:rsidR="00451D36" w:rsidRPr="00AC7A27" w:rsidRDefault="006B04F1" w:rsidP="00451D36">
      <w:pPr>
        <w:spacing w:after="0" w:line="240" w:lineRule="auto"/>
        <w:jc w:val="center"/>
        <w:rPr>
          <w:color w:val="17365D" w:themeColor="text2" w:themeShade="BF"/>
          <w:sz w:val="36"/>
          <w:szCs w:val="36"/>
          <w:u w:val="single"/>
        </w:rPr>
      </w:pPr>
      <w:r>
        <w:rPr>
          <w:color w:val="17365D" w:themeColor="text2" w:themeShade="BF"/>
          <w:sz w:val="36"/>
          <w:szCs w:val="36"/>
          <w:u w:val="single"/>
        </w:rPr>
        <w:t>c</w:t>
      </w:r>
      <w:r w:rsidR="00ED2813" w:rsidRPr="00AC7A27">
        <w:rPr>
          <w:color w:val="17365D" w:themeColor="text2" w:themeShade="BF"/>
          <w:sz w:val="36"/>
          <w:szCs w:val="36"/>
          <w:u w:val="single"/>
        </w:rPr>
        <w:t xml:space="preserve">lauses </w:t>
      </w:r>
      <w:r w:rsidR="00ED2813" w:rsidRPr="002B1DE8">
        <w:rPr>
          <w:color w:val="17365D" w:themeColor="text2" w:themeShade="BF"/>
          <w:sz w:val="36"/>
          <w:szCs w:val="36"/>
          <w:u w:val="single"/>
        </w:rPr>
        <w:t xml:space="preserve">de propriété intellectuelle ASTRID </w:t>
      </w:r>
      <w:r w:rsidR="00581C17" w:rsidRPr="002B1DE8">
        <w:rPr>
          <w:color w:val="17365D" w:themeColor="text2" w:themeShade="BF"/>
          <w:sz w:val="36"/>
          <w:szCs w:val="36"/>
          <w:u w:val="single"/>
        </w:rPr>
        <w:t xml:space="preserve">édition </w:t>
      </w:r>
      <w:r w:rsidR="00ED2813" w:rsidRPr="002B1DE8">
        <w:rPr>
          <w:color w:val="17365D" w:themeColor="text2" w:themeShade="BF"/>
          <w:sz w:val="36"/>
          <w:szCs w:val="36"/>
          <w:u w:val="single"/>
        </w:rPr>
        <w:t>20</w:t>
      </w:r>
      <w:r w:rsidR="00607CE4" w:rsidRPr="002B1DE8">
        <w:rPr>
          <w:color w:val="17365D" w:themeColor="text2" w:themeShade="BF"/>
          <w:sz w:val="36"/>
          <w:szCs w:val="36"/>
          <w:u w:val="single"/>
        </w:rPr>
        <w:t>2</w:t>
      </w:r>
      <w:r w:rsidR="005970D5">
        <w:rPr>
          <w:color w:val="17365D" w:themeColor="text2" w:themeShade="BF"/>
          <w:sz w:val="36"/>
          <w:szCs w:val="36"/>
          <w:u w:val="single"/>
        </w:rPr>
        <w:t>6</w:t>
      </w:r>
    </w:p>
    <w:p w14:paraId="3E435E7B" w14:textId="77777777" w:rsidR="00451D36" w:rsidRPr="0045480E" w:rsidRDefault="00451D36" w:rsidP="00451D36">
      <w:pPr>
        <w:spacing w:after="0" w:line="240" w:lineRule="auto"/>
        <w:jc w:val="both"/>
        <w:rPr>
          <w:color w:val="17365D" w:themeColor="text2" w:themeShade="BF"/>
        </w:rPr>
      </w:pPr>
    </w:p>
    <w:p w14:paraId="398C5C77" w14:textId="77777777" w:rsidR="00451D36" w:rsidRPr="0045480E" w:rsidRDefault="00451D36" w:rsidP="00451D36">
      <w:pPr>
        <w:spacing w:after="0" w:line="240" w:lineRule="auto"/>
        <w:jc w:val="both"/>
        <w:rPr>
          <w:color w:val="17365D" w:themeColor="text2" w:themeShade="BF"/>
        </w:rPr>
      </w:pPr>
    </w:p>
    <w:p w14:paraId="58C41B85" w14:textId="6AE3A0B1" w:rsidR="00733A37" w:rsidRPr="00AC7A27" w:rsidRDefault="00AA259F">
      <w:pPr>
        <w:spacing w:after="0" w:line="240" w:lineRule="auto"/>
        <w:jc w:val="both"/>
        <w:rPr>
          <w:color w:val="17365D" w:themeColor="text2" w:themeShade="BF"/>
        </w:rPr>
      </w:pPr>
      <w:r w:rsidRPr="00581C17">
        <w:rPr>
          <w:color w:val="17365D" w:themeColor="text2" w:themeShade="BF"/>
        </w:rPr>
        <w:t xml:space="preserve">Les présentes clauses sont </w:t>
      </w:r>
      <w:r w:rsidR="007D7684" w:rsidRPr="00581C17">
        <w:rPr>
          <w:color w:val="17365D" w:themeColor="text2" w:themeShade="BF"/>
        </w:rPr>
        <w:t xml:space="preserve">mises en œuvre </w:t>
      </w:r>
      <w:r w:rsidR="00397DD5">
        <w:rPr>
          <w:color w:val="17365D" w:themeColor="text2" w:themeShade="BF"/>
        </w:rPr>
        <w:t xml:space="preserve">dans la </w:t>
      </w:r>
      <w:r w:rsidR="00397DD5" w:rsidRPr="002B1DE8">
        <w:rPr>
          <w:color w:val="17365D" w:themeColor="text2" w:themeShade="BF"/>
        </w:rPr>
        <w:t>cadre de la présente convention attributive d’aide (appelé ci-après « Convention »)</w:t>
      </w:r>
      <w:r w:rsidR="00014667" w:rsidRPr="002B1DE8">
        <w:rPr>
          <w:color w:val="17365D" w:themeColor="text2" w:themeShade="BF"/>
        </w:rPr>
        <w:t xml:space="preserve"> </w:t>
      </w:r>
      <w:r w:rsidR="00ED2813" w:rsidRPr="002B1DE8">
        <w:rPr>
          <w:color w:val="17365D" w:themeColor="text2" w:themeShade="BF"/>
        </w:rPr>
        <w:t>pour l’édition 20</w:t>
      </w:r>
      <w:r w:rsidR="00607CE4" w:rsidRPr="002B1DE8">
        <w:rPr>
          <w:color w:val="17365D" w:themeColor="text2" w:themeShade="BF"/>
        </w:rPr>
        <w:t>2</w:t>
      </w:r>
      <w:r w:rsidR="005970D5">
        <w:rPr>
          <w:color w:val="17365D" w:themeColor="text2" w:themeShade="BF"/>
        </w:rPr>
        <w:t>6</w:t>
      </w:r>
      <w:bookmarkStart w:id="0" w:name="_GoBack"/>
      <w:bookmarkEnd w:id="0"/>
      <w:r w:rsidR="00ED2813" w:rsidRPr="002B1DE8">
        <w:rPr>
          <w:color w:val="17365D" w:themeColor="text2" w:themeShade="BF"/>
        </w:rPr>
        <w:t xml:space="preserve"> de </w:t>
      </w:r>
      <w:r w:rsidR="002B1DE8" w:rsidRPr="002B1DE8">
        <w:rPr>
          <w:color w:val="17365D" w:themeColor="text2" w:themeShade="BF"/>
        </w:rPr>
        <w:t>l’</w:t>
      </w:r>
      <w:r w:rsidR="00ED2813" w:rsidRPr="002B1DE8">
        <w:rPr>
          <w:color w:val="17365D" w:themeColor="text2" w:themeShade="BF"/>
        </w:rPr>
        <w:t xml:space="preserve">appel à projets ASTRID </w:t>
      </w:r>
      <w:r w:rsidR="007D7684" w:rsidRPr="002B1DE8">
        <w:rPr>
          <w:color w:val="17365D" w:themeColor="text2" w:themeShade="BF"/>
        </w:rPr>
        <w:t xml:space="preserve">par l’ANR à la demande de la </w:t>
      </w:r>
      <w:r w:rsidR="007A3704" w:rsidRPr="002B1DE8">
        <w:rPr>
          <w:color w:val="17365D" w:themeColor="text2" w:themeShade="BF"/>
        </w:rPr>
        <w:t>Direction générale de l’armement</w:t>
      </w:r>
      <w:r w:rsidR="000F5CEF" w:rsidRPr="002B1DE8">
        <w:rPr>
          <w:rStyle w:val="Appelnotedebasdep"/>
          <w:color w:val="17365D" w:themeColor="text2" w:themeShade="BF"/>
        </w:rPr>
        <w:footnoteReference w:id="1"/>
      </w:r>
      <w:r w:rsidR="007A3704" w:rsidRPr="002B1DE8">
        <w:rPr>
          <w:color w:val="17365D" w:themeColor="text2" w:themeShade="BF"/>
        </w:rPr>
        <w:t xml:space="preserve"> (appelée </w:t>
      </w:r>
      <w:r w:rsidR="007D7684" w:rsidRPr="002B1DE8">
        <w:rPr>
          <w:color w:val="17365D" w:themeColor="text2" w:themeShade="BF"/>
        </w:rPr>
        <w:t>DGA</w:t>
      </w:r>
      <w:r w:rsidR="007A3704" w:rsidRPr="002B1DE8">
        <w:rPr>
          <w:color w:val="17365D" w:themeColor="text2" w:themeShade="BF"/>
        </w:rPr>
        <w:t xml:space="preserve"> </w:t>
      </w:r>
      <w:r w:rsidR="00BD3BBD" w:rsidRPr="002B1DE8">
        <w:rPr>
          <w:color w:val="17365D" w:themeColor="text2" w:themeShade="BF"/>
        </w:rPr>
        <w:t>ci-après</w:t>
      </w:r>
      <w:r w:rsidR="007A3704" w:rsidRPr="002B1DE8">
        <w:rPr>
          <w:color w:val="17365D" w:themeColor="text2" w:themeShade="BF"/>
        </w:rPr>
        <w:t>)</w:t>
      </w:r>
      <w:r w:rsidR="007D7684" w:rsidRPr="002B1DE8">
        <w:rPr>
          <w:color w:val="17365D" w:themeColor="text2" w:themeShade="BF"/>
        </w:rPr>
        <w:t xml:space="preserve"> </w:t>
      </w:r>
      <w:r w:rsidR="00C73F41" w:rsidRPr="002B1DE8">
        <w:rPr>
          <w:color w:val="17365D" w:themeColor="text2" w:themeShade="BF"/>
        </w:rPr>
        <w:t>et de l’</w:t>
      </w:r>
      <w:r w:rsidR="007A3704" w:rsidRPr="002B1DE8">
        <w:rPr>
          <w:color w:val="17365D" w:themeColor="text2" w:themeShade="BF"/>
        </w:rPr>
        <w:t>Agence de l’innovation de défense</w:t>
      </w:r>
      <w:r w:rsidR="007A3704" w:rsidRPr="002B1DE8">
        <w:rPr>
          <w:rStyle w:val="Appelnotedebasdep"/>
          <w:color w:val="17365D" w:themeColor="text2" w:themeShade="BF"/>
        </w:rPr>
        <w:footnoteReference w:id="2"/>
      </w:r>
      <w:r w:rsidR="007A3704" w:rsidRPr="002B1DE8">
        <w:rPr>
          <w:color w:val="17365D" w:themeColor="text2" w:themeShade="BF"/>
        </w:rPr>
        <w:t xml:space="preserve"> (appelée </w:t>
      </w:r>
      <w:r w:rsidR="00C73F41" w:rsidRPr="002B1DE8">
        <w:rPr>
          <w:color w:val="17365D" w:themeColor="text2" w:themeShade="BF"/>
        </w:rPr>
        <w:t>AID</w:t>
      </w:r>
      <w:r w:rsidR="007A3704" w:rsidRPr="002B1DE8">
        <w:rPr>
          <w:color w:val="17365D" w:themeColor="text2" w:themeShade="BF"/>
        </w:rPr>
        <w:t xml:space="preserve"> </w:t>
      </w:r>
      <w:r w:rsidR="00BD3BBD" w:rsidRPr="002B1DE8">
        <w:rPr>
          <w:color w:val="17365D" w:themeColor="text2" w:themeShade="BF"/>
        </w:rPr>
        <w:t>ci-après</w:t>
      </w:r>
      <w:r w:rsidR="007A3704" w:rsidRPr="002B1DE8">
        <w:rPr>
          <w:color w:val="17365D" w:themeColor="text2" w:themeShade="BF"/>
        </w:rPr>
        <w:t>)</w:t>
      </w:r>
      <w:r w:rsidR="00C73F41" w:rsidRPr="002B1DE8">
        <w:rPr>
          <w:color w:val="17365D" w:themeColor="text2" w:themeShade="BF"/>
        </w:rPr>
        <w:t xml:space="preserve"> </w:t>
      </w:r>
      <w:r w:rsidR="007D7684" w:rsidRPr="002B1DE8">
        <w:rPr>
          <w:color w:val="17365D" w:themeColor="text2" w:themeShade="BF"/>
        </w:rPr>
        <w:t xml:space="preserve">dans le cadre de la coopération </w:t>
      </w:r>
      <w:r w:rsidR="004128BE" w:rsidRPr="002B1DE8">
        <w:rPr>
          <w:color w:val="17365D" w:themeColor="text2" w:themeShade="BF"/>
        </w:rPr>
        <w:t>entre l’</w:t>
      </w:r>
      <w:r w:rsidR="007D7684" w:rsidRPr="002B1DE8">
        <w:rPr>
          <w:color w:val="17365D" w:themeColor="text2" w:themeShade="BF"/>
        </w:rPr>
        <w:t>ANR</w:t>
      </w:r>
      <w:r w:rsidR="004128BE" w:rsidRPr="002B1DE8">
        <w:rPr>
          <w:color w:val="17365D" w:themeColor="text2" w:themeShade="BF"/>
        </w:rPr>
        <w:t xml:space="preserve">, la </w:t>
      </w:r>
      <w:r w:rsidR="007D7684" w:rsidRPr="002B1DE8">
        <w:rPr>
          <w:color w:val="17365D" w:themeColor="text2" w:themeShade="BF"/>
        </w:rPr>
        <w:t>DGA</w:t>
      </w:r>
      <w:r w:rsidR="004128BE" w:rsidRPr="002B1DE8">
        <w:rPr>
          <w:color w:val="17365D" w:themeColor="text2" w:themeShade="BF"/>
        </w:rPr>
        <w:t xml:space="preserve"> et l’</w:t>
      </w:r>
      <w:r w:rsidR="00C73F41" w:rsidRPr="002B1DE8">
        <w:rPr>
          <w:color w:val="17365D" w:themeColor="text2" w:themeShade="BF"/>
        </w:rPr>
        <w:t>AID</w:t>
      </w:r>
      <w:r w:rsidR="007D7684" w:rsidRPr="002B1DE8">
        <w:rPr>
          <w:color w:val="17365D" w:themeColor="text2" w:themeShade="BF"/>
        </w:rPr>
        <w:t>. Dans ce contexte, l</w:t>
      </w:r>
      <w:r w:rsidR="00C73F41" w:rsidRPr="002B1DE8">
        <w:rPr>
          <w:color w:val="17365D" w:themeColor="text2" w:themeShade="BF"/>
        </w:rPr>
        <w:t xml:space="preserve">es </w:t>
      </w:r>
      <w:r w:rsidR="007D7684" w:rsidRPr="002B1DE8">
        <w:rPr>
          <w:color w:val="17365D" w:themeColor="text2" w:themeShade="BF"/>
        </w:rPr>
        <w:t>interlocuteur</w:t>
      </w:r>
      <w:r w:rsidR="00C73F41" w:rsidRPr="002B1DE8">
        <w:rPr>
          <w:color w:val="17365D" w:themeColor="text2" w:themeShade="BF"/>
        </w:rPr>
        <w:t>s</w:t>
      </w:r>
      <w:r w:rsidR="007D7684" w:rsidRPr="002B1DE8">
        <w:rPr>
          <w:color w:val="17365D" w:themeColor="text2" w:themeShade="BF"/>
        </w:rPr>
        <w:t xml:space="preserve"> principa</w:t>
      </w:r>
      <w:r w:rsidR="00C73F41" w:rsidRPr="002B1DE8">
        <w:rPr>
          <w:color w:val="17365D" w:themeColor="text2" w:themeShade="BF"/>
        </w:rPr>
        <w:t>ux</w:t>
      </w:r>
      <w:r w:rsidR="007D7684" w:rsidRPr="002B1DE8">
        <w:rPr>
          <w:color w:val="17365D" w:themeColor="text2" w:themeShade="BF"/>
        </w:rPr>
        <w:t xml:space="preserve"> </w:t>
      </w:r>
      <w:r w:rsidR="007A3704" w:rsidRPr="002B1DE8">
        <w:rPr>
          <w:color w:val="17365D" w:themeColor="text2" w:themeShade="BF"/>
        </w:rPr>
        <w:t xml:space="preserve">des </w:t>
      </w:r>
      <w:r w:rsidR="004128BE" w:rsidRPr="002B1DE8">
        <w:rPr>
          <w:color w:val="17365D" w:themeColor="text2" w:themeShade="BF"/>
        </w:rPr>
        <w:t>B</w:t>
      </w:r>
      <w:r w:rsidR="007A3704" w:rsidRPr="002B1DE8">
        <w:rPr>
          <w:color w:val="17365D" w:themeColor="text2" w:themeShade="BF"/>
        </w:rPr>
        <w:t xml:space="preserve">énéficiaires </w:t>
      </w:r>
      <w:r w:rsidR="000F5CEF" w:rsidRPr="002B1DE8">
        <w:rPr>
          <w:color w:val="17365D" w:themeColor="text2" w:themeShade="BF"/>
        </w:rPr>
        <w:t xml:space="preserve">pour leur mise en œuvre </w:t>
      </w:r>
      <w:r w:rsidR="00C73F41" w:rsidRPr="002B1DE8">
        <w:rPr>
          <w:color w:val="17365D" w:themeColor="text2" w:themeShade="BF"/>
        </w:rPr>
        <w:t xml:space="preserve">sont </w:t>
      </w:r>
      <w:r w:rsidR="000F5CEF" w:rsidRPr="002B1DE8">
        <w:rPr>
          <w:color w:val="17365D" w:themeColor="text2" w:themeShade="BF"/>
        </w:rPr>
        <w:t>ces deux entités</w:t>
      </w:r>
      <w:r w:rsidR="00C63571" w:rsidRPr="002B1DE8">
        <w:rPr>
          <w:color w:val="17365D" w:themeColor="text2" w:themeShade="BF"/>
        </w:rPr>
        <w:t xml:space="preserve">, à savoir : </w:t>
      </w:r>
      <w:r w:rsidR="000F5CEF" w:rsidRPr="002B1DE8">
        <w:rPr>
          <w:color w:val="17365D" w:themeColor="text2" w:themeShade="BF"/>
        </w:rPr>
        <w:t>DGA et AID.</w:t>
      </w:r>
      <w:r w:rsidR="000F5CEF" w:rsidRPr="00581C17">
        <w:rPr>
          <w:color w:val="17365D" w:themeColor="text2" w:themeShade="BF"/>
        </w:rPr>
        <w:t xml:space="preserve"> </w:t>
      </w:r>
    </w:p>
    <w:p w14:paraId="7660926F" w14:textId="77777777" w:rsidR="00AA259F" w:rsidRPr="00581C17" w:rsidRDefault="00AA259F">
      <w:pPr>
        <w:spacing w:after="0" w:line="240" w:lineRule="auto"/>
        <w:jc w:val="both"/>
        <w:rPr>
          <w:color w:val="17365D" w:themeColor="text2" w:themeShade="BF"/>
        </w:rPr>
      </w:pPr>
    </w:p>
    <w:p w14:paraId="71DE9359" w14:textId="77777777" w:rsidR="00451D36" w:rsidRPr="00581C17" w:rsidRDefault="00451D36">
      <w:pPr>
        <w:spacing w:after="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>1 - Définitions</w:t>
      </w:r>
    </w:p>
    <w:p w14:paraId="02C7B43F" w14:textId="77777777" w:rsidR="00451D36" w:rsidRDefault="00451D36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</w:rPr>
      </w:pPr>
    </w:p>
    <w:p w14:paraId="425A928E" w14:textId="77777777" w:rsidR="007D0CB1" w:rsidRDefault="007D0CB1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</w:rPr>
      </w:pPr>
      <w:r>
        <w:rPr>
          <w:rFonts w:ascii="Calibri" w:hAnsi="Calibri" w:cs="Times New Roman"/>
          <w:color w:val="17365D" w:themeColor="text2" w:themeShade="BF"/>
        </w:rPr>
        <w:t xml:space="preserve">Les définitions ci-dessous </w:t>
      </w:r>
      <w:r w:rsidR="00C11C3E">
        <w:rPr>
          <w:rFonts w:ascii="Calibri" w:hAnsi="Calibri" w:cs="Times New Roman"/>
          <w:color w:val="17365D" w:themeColor="text2" w:themeShade="BF"/>
        </w:rPr>
        <w:t xml:space="preserve">sont applicables </w:t>
      </w:r>
      <w:r>
        <w:rPr>
          <w:rFonts w:ascii="Calibri" w:hAnsi="Calibri" w:cs="Times New Roman"/>
          <w:color w:val="17365D" w:themeColor="text2" w:themeShade="BF"/>
        </w:rPr>
        <w:t>s</w:t>
      </w:r>
      <w:r w:rsidRPr="007D0CB1">
        <w:rPr>
          <w:rFonts w:ascii="Calibri" w:hAnsi="Calibri" w:cs="Times New Roman"/>
          <w:color w:val="17365D" w:themeColor="text2" w:themeShade="BF"/>
        </w:rPr>
        <w:t>ou</w:t>
      </w:r>
      <w:r>
        <w:rPr>
          <w:rFonts w:ascii="Calibri" w:hAnsi="Calibri" w:cs="Times New Roman"/>
          <w:color w:val="17365D" w:themeColor="text2" w:themeShade="BF"/>
        </w:rPr>
        <w:t>s réserve du droit des aides d’</w:t>
      </w:r>
      <w:r w:rsidRPr="007D0CB1">
        <w:rPr>
          <w:rFonts w:ascii="Calibri" w:hAnsi="Calibri" w:cs="Times New Roman"/>
          <w:color w:val="17365D" w:themeColor="text2" w:themeShade="BF"/>
        </w:rPr>
        <w:t>Etat</w:t>
      </w:r>
      <w:r>
        <w:rPr>
          <w:rFonts w:ascii="Calibri" w:hAnsi="Calibri" w:cs="Times New Roman"/>
          <w:color w:val="17365D" w:themeColor="text2" w:themeShade="BF"/>
        </w:rPr>
        <w:t>.</w:t>
      </w:r>
    </w:p>
    <w:p w14:paraId="27B517DF" w14:textId="77777777" w:rsidR="007D0CB1" w:rsidRPr="00581C17" w:rsidRDefault="007D0CB1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</w:rPr>
      </w:pPr>
    </w:p>
    <w:p w14:paraId="69619F06" w14:textId="2D69C789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Les </w:t>
      </w:r>
      <w:r w:rsidR="007B03B6">
        <w:rPr>
          <w:rFonts w:ascii="Calibri" w:hAnsi="Calibri" w:cs="Times New Roman"/>
          <w:color w:val="17365D" w:themeColor="text2" w:themeShade="BF"/>
          <w:spacing w:val="-2"/>
          <w:u w:val="single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onnaissances antérieures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désignent toutes les informations et connaissances techniques ou scientifiques, notamment les données, les bases de données,</w:t>
      </w:r>
      <w:r w:rsidR="000F5CEF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les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logiciels, les dossiers, rapports ou documents, les plans, les schémas, les dessins, les formules, sous quelque forme qu’elles soient, brevetables ou non, brevetées ou non, protégées par savoir-faire, secrets de fabrique ou secrets commerciaux et d’une manière générale tout droit de propriété intellectuelle nécessaire à la réalisation des travaux de la </w:t>
      </w:r>
      <w:r w:rsidR="00397DD5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onvention, appartenant à une partie ou détenu par </w:t>
      </w:r>
      <w:r w:rsidR="00205825">
        <w:rPr>
          <w:rFonts w:ascii="Calibri" w:hAnsi="Calibri" w:cs="Times New Roman"/>
          <w:color w:val="17365D" w:themeColor="text2" w:themeShade="BF"/>
          <w:spacing w:val="-2"/>
        </w:rPr>
        <w:t>lui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avant la date d’effet de la présente </w:t>
      </w:r>
      <w:r w:rsidR="00205825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onvention ou indépendamment de la réalisation des travaux de recherche objet de la </w:t>
      </w:r>
      <w:r w:rsidR="00205825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onvention et sur lesquels elle détient des droits.</w:t>
      </w:r>
    </w:p>
    <w:p w14:paraId="611EA14A" w14:textId="77777777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6F1E743D" w14:textId="1F897D8D" w:rsidR="00451D36" w:rsidRDefault="00451D36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Les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 xml:space="preserve">ésultats obtenus dans le cadre du </w:t>
      </w:r>
      <w:r w:rsidR="00D87B08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p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rojet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désignent toutes les informations et connaissances techniques ou scientifiques, notamment les données, les bases de données, </w:t>
      </w:r>
      <w:r w:rsidR="000F5CEF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les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logiciels, les dossiers, rapports ou documents, les plans, les schémas, les dessins, les formules, sous quelque forme qu’elles soient, brevetables ou non, brevetées ou non, protégées par savoir-faire, secrets de fabrique ou secrets commerciaux et d’une manière générale tout droit de propriété intellectuelle résultant des travaux réalisés dans le cadre de la </w:t>
      </w:r>
      <w:r w:rsidR="00FF3017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onvention. </w:t>
      </w:r>
    </w:p>
    <w:p w14:paraId="7E5E38A0" w14:textId="77777777" w:rsidR="00FF3017" w:rsidRPr="00581C17" w:rsidRDefault="00FF3017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7FAF44B0" w14:textId="64A2A921" w:rsidR="002B4A8A" w:rsidRDefault="007D7684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Les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ésultats propres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désignent les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 xml:space="preserve">ésultats 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obtenus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 xml:space="preserve"> </w:t>
      </w:r>
      <w:r w:rsidR="00015594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 xml:space="preserve">dans le cadre du </w:t>
      </w:r>
      <w:r w:rsidR="00D87B08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p</w:t>
      </w:r>
      <w:r w:rsidR="00015594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rojet</w:t>
      </w:r>
      <w:r w:rsidR="0001559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par un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seul, sans le concours d’un autre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, c’est à dire sans la participation d’a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ucun autre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E93A94" w:rsidRPr="00581C17">
        <w:rPr>
          <w:rFonts w:ascii="Calibri" w:hAnsi="Calibri" w:cs="Times New Roman"/>
          <w:color w:val="17365D" w:themeColor="text2" w:themeShade="BF"/>
          <w:spacing w:val="-2"/>
        </w:rPr>
        <w:t>en termes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d’activité inventive ou intellectuelle lors de l’exécution de sa part du projet.</w:t>
      </w:r>
    </w:p>
    <w:p w14:paraId="01EB09CE" w14:textId="77777777" w:rsidR="00437F67" w:rsidRPr="00581C17" w:rsidRDefault="00437F67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30E3CCAC" w14:textId="2951ED63" w:rsidR="00F309AA" w:rsidRPr="00581C17" w:rsidRDefault="002B4A8A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Les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 xml:space="preserve">ésultats </w:t>
      </w:r>
      <w:r w:rsidR="003E1E6B" w:rsidRPr="00581C17">
        <w:rPr>
          <w:rFonts w:ascii="Calibri" w:hAnsi="Calibri" w:cs="Times New Roman"/>
          <w:color w:val="17365D" w:themeColor="text2" w:themeShade="BF"/>
          <w:spacing w:val="-2"/>
          <w:u w:val="single"/>
        </w:rPr>
        <w:t xml:space="preserve">conjoints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désignent les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ésultats </w:t>
      </w:r>
      <w:r w:rsidR="0001559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obtenus dans le cadre du </w:t>
      </w:r>
      <w:r w:rsidR="00D87B08" w:rsidRPr="00581C17">
        <w:rPr>
          <w:rFonts w:ascii="Calibri" w:hAnsi="Calibri" w:cs="Times New Roman"/>
          <w:color w:val="17365D" w:themeColor="text2" w:themeShade="BF"/>
          <w:spacing w:val="-2"/>
        </w:rPr>
        <w:t>p</w:t>
      </w:r>
      <w:r w:rsidR="0001559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rojet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conjointement par des personnels d’au moins deux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 et dont les caractéristiques sont telles qu’il n’est pas possible de séparer la contribution intellectuelle de chacun des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 pour la demande ou l’obtention d’un droit de propriété intellectuelle. </w:t>
      </w:r>
    </w:p>
    <w:p w14:paraId="2E2FBC1A" w14:textId="77777777" w:rsidR="00F309AA" w:rsidRPr="00581C17" w:rsidRDefault="00F309AA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78500536" w14:textId="0A4378D7" w:rsidR="007D7684" w:rsidRPr="00581C17" w:rsidRDefault="00F309AA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Sans mention particulière, les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ésultats désignent les </w:t>
      </w:r>
      <w:r w:rsidR="001732E5" w:rsidRPr="00581C17">
        <w:rPr>
          <w:rFonts w:ascii="Calibri" w:hAnsi="Calibri" w:cs="Times New Roman"/>
          <w:color w:val="17365D" w:themeColor="text2" w:themeShade="BF"/>
          <w:spacing w:val="-2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ésultats propres et </w:t>
      </w:r>
      <w:r w:rsidR="000F5CEF" w:rsidRPr="00581C17">
        <w:rPr>
          <w:rFonts w:ascii="Calibri" w:hAnsi="Calibri" w:cs="Times New Roman"/>
          <w:color w:val="17365D" w:themeColor="text2" w:themeShade="BF"/>
          <w:spacing w:val="-2"/>
        </w:rPr>
        <w:t>conjoints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  <w:r w:rsidR="007D768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</w:p>
    <w:p w14:paraId="30E4EBAB" w14:textId="77777777" w:rsidR="00CF2F13" w:rsidRPr="00581C17" w:rsidRDefault="00CF2F13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12CC7D3C" w14:textId="42AC4B1F" w:rsidR="00830A18" w:rsidRPr="00581C17" w:rsidRDefault="00830A18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AC7A27">
        <w:rPr>
          <w:rFonts w:ascii="Calibri" w:hAnsi="Calibri" w:cs="Times New Roman"/>
          <w:color w:val="17365D" w:themeColor="text2" w:themeShade="BF"/>
          <w:spacing w:val="-2"/>
          <w:u w:val="single"/>
        </w:rPr>
        <w:t>Bénéficiaire</w:t>
      </w:r>
      <w:r>
        <w:rPr>
          <w:rFonts w:ascii="Calibri" w:hAnsi="Calibri" w:cs="Times New Roman"/>
          <w:color w:val="17365D" w:themeColor="text2" w:themeShade="BF"/>
          <w:spacing w:val="-2"/>
        </w:rPr>
        <w:t xml:space="preserve"> et </w:t>
      </w:r>
      <w:r w:rsidRPr="00AC7A27">
        <w:rPr>
          <w:rFonts w:ascii="Calibri" w:hAnsi="Calibri" w:cs="Times New Roman"/>
          <w:color w:val="17365D" w:themeColor="text2" w:themeShade="BF"/>
          <w:spacing w:val="-2"/>
          <w:u w:val="single"/>
        </w:rPr>
        <w:t>Partenaire</w:t>
      </w:r>
      <w:r>
        <w:rPr>
          <w:rFonts w:ascii="Calibri" w:hAnsi="Calibri" w:cs="Times New Roman"/>
          <w:color w:val="17365D" w:themeColor="text2" w:themeShade="BF"/>
          <w:spacing w:val="-2"/>
        </w:rPr>
        <w:t xml:space="preserve"> sont des termes définis dans le règlement financier de l’ANR.</w:t>
      </w:r>
    </w:p>
    <w:p w14:paraId="2AF87FDE" w14:textId="7C9EE1CC" w:rsidR="00451D36" w:rsidRPr="00581C17" w:rsidRDefault="00451D36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 xml:space="preserve">2 - Régime des </w:t>
      </w:r>
      <w:r w:rsidR="007B03B6">
        <w:rPr>
          <w:rFonts w:ascii="Calibri" w:hAnsi="Calibri" w:cs="Times New Roman"/>
          <w:i/>
          <w:color w:val="17365D" w:themeColor="text2" w:themeShade="BF"/>
        </w:rPr>
        <w:t>C</w:t>
      </w:r>
      <w:r w:rsidRPr="00581C17">
        <w:rPr>
          <w:rFonts w:ascii="Calibri" w:hAnsi="Calibri" w:cs="Times New Roman"/>
          <w:i/>
          <w:color w:val="17365D" w:themeColor="text2" w:themeShade="BF"/>
        </w:rPr>
        <w:t>onnaissances antérieures</w:t>
      </w:r>
    </w:p>
    <w:p w14:paraId="1A4E29BD" w14:textId="520EDBE4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Chaque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demeure propriétaire de ses 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onnaissances antérieures. </w:t>
      </w:r>
      <w:r w:rsidR="00770A3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Chaque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775DD1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770A3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s’engage à communiquer toutes 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>C</w:t>
      </w:r>
      <w:r w:rsidR="00770A3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onnaissances antérieures utiles aux travaux à réaliser dans le cadre de la présente </w:t>
      </w:r>
      <w:r w:rsidR="00393E30">
        <w:rPr>
          <w:rFonts w:ascii="Calibri" w:hAnsi="Calibri" w:cs="Times New Roman"/>
          <w:color w:val="17365D" w:themeColor="text2" w:themeShade="BF"/>
          <w:spacing w:val="-2"/>
        </w:rPr>
        <w:lastRenderedPageBreak/>
        <w:t>C</w:t>
      </w:r>
      <w:r w:rsidR="00770A3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onvention.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Les 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onnaissances antérieures ne sont communiquées à l’autre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que pour la réalisation de la seule </w:t>
      </w:r>
      <w:r w:rsidR="002A1CF3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onvention. Toute autre utilisation nécessite un accord formel de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détent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>eurs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de ces </w:t>
      </w:r>
      <w:r w:rsidR="00771467" w:rsidRPr="00581C17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onnaissances.</w:t>
      </w:r>
    </w:p>
    <w:p w14:paraId="43A3F314" w14:textId="2A102CD4" w:rsidR="00451D36" w:rsidRPr="00581C17" w:rsidRDefault="00451D36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 xml:space="preserve">3 - Utilisation des </w:t>
      </w:r>
      <w:r w:rsidR="00403547" w:rsidRPr="00581C17">
        <w:rPr>
          <w:rFonts w:ascii="Calibri" w:hAnsi="Calibri" w:cs="Times New Roman"/>
          <w:i/>
          <w:color w:val="17365D" w:themeColor="text2" w:themeShade="BF"/>
        </w:rPr>
        <w:t>R</w:t>
      </w:r>
      <w:r w:rsidRPr="00581C17">
        <w:rPr>
          <w:rFonts w:ascii="Calibri" w:hAnsi="Calibri" w:cs="Times New Roman"/>
          <w:i/>
          <w:color w:val="17365D" w:themeColor="text2" w:themeShade="BF"/>
        </w:rPr>
        <w:t>ésultats</w:t>
      </w:r>
      <w:r w:rsidR="00F35535">
        <w:rPr>
          <w:rFonts w:ascii="Calibri" w:hAnsi="Calibri" w:cs="Times New Roman"/>
          <w:i/>
          <w:color w:val="17365D" w:themeColor="text2" w:themeShade="BF"/>
        </w:rPr>
        <w:t>, des documents, des informations</w:t>
      </w:r>
      <w:r w:rsidR="00F35535" w:rsidRPr="00581C17">
        <w:rPr>
          <w:rFonts w:ascii="Calibri" w:hAnsi="Calibri" w:cs="Times New Roman"/>
          <w:i/>
          <w:color w:val="17365D" w:themeColor="text2" w:themeShade="BF"/>
        </w:rPr>
        <w:t xml:space="preserve"> obtenus</w:t>
      </w:r>
      <w:r w:rsidR="002B4A8A" w:rsidRPr="00581C17">
        <w:rPr>
          <w:rFonts w:ascii="Calibri" w:hAnsi="Calibri" w:cs="Times New Roman"/>
          <w:i/>
          <w:color w:val="17365D" w:themeColor="text2" w:themeShade="BF"/>
        </w:rPr>
        <w:t xml:space="preserve"> dans le cadre du projet</w:t>
      </w:r>
    </w:p>
    <w:p w14:paraId="03B121AF" w14:textId="4EDD2F1A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3.1 Sous réserve </w:t>
      </w:r>
      <w:r w:rsidR="003E1E6B" w:rsidRPr="00581C17">
        <w:rPr>
          <w:rFonts w:ascii="Calibri" w:hAnsi="Calibri" w:cs="Times New Roman"/>
          <w:color w:val="17365D" w:themeColor="text2" w:themeShade="BF"/>
          <w:spacing w:val="-2"/>
        </w:rPr>
        <w:t>du droit des aides d’</w:t>
      </w:r>
      <w:r w:rsidR="00771467" w:rsidRPr="00581C17">
        <w:rPr>
          <w:rFonts w:ascii="Calibri" w:hAnsi="Calibri" w:cs="Times New Roman"/>
          <w:color w:val="17365D" w:themeColor="text2" w:themeShade="BF"/>
          <w:spacing w:val="-2"/>
        </w:rPr>
        <w:t>E</w:t>
      </w:r>
      <w:r w:rsidR="003E1E6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tat, et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des droits sur </w:t>
      </w:r>
      <w:r w:rsidR="002560CE"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es </w:t>
      </w:r>
      <w:r w:rsidR="002560CE" w:rsidRPr="00581C17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onnaissances antérieures, </w:t>
      </w:r>
      <w:r w:rsidR="002560CE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chaque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est libre d’utiliser et faire utiliser les </w:t>
      </w:r>
      <w:r w:rsidR="002560CE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Résultats </w:t>
      </w:r>
      <w:r w:rsidR="002B4A8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conjoints 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obtenus dans le cadre du </w:t>
      </w:r>
      <w:r w:rsidR="00F76251" w:rsidRPr="00581C17">
        <w:rPr>
          <w:rFonts w:ascii="Calibri" w:hAnsi="Calibri" w:cs="Times New Roman"/>
          <w:color w:val="17365D" w:themeColor="text2" w:themeShade="BF"/>
          <w:spacing w:val="-2"/>
        </w:rPr>
        <w:t>p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>rojet</w:t>
      </w:r>
      <w:r w:rsidR="003E1E6B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</w:p>
    <w:p w14:paraId="3D65DAC4" w14:textId="347E03DB" w:rsidR="00963CB4" w:rsidRPr="00581C17" w:rsidRDefault="00451D36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3.2 Il incombe </w:t>
      </w:r>
      <w:r w:rsidR="00C408A3" w:rsidRPr="00581C17">
        <w:rPr>
          <w:rFonts w:ascii="Calibri" w:hAnsi="Calibri" w:cs="Times New Roman"/>
          <w:color w:val="17365D" w:themeColor="text2" w:themeShade="BF"/>
          <w:spacing w:val="-2"/>
        </w:rPr>
        <w:t>au Bénéficiaire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de prendre toutes dispositions pour préserver les droits d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’un autre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et, le cas échéant, accomplir à ses frais les formalités nécessaires pour que ces droits soient opposables aux tiers</w:t>
      </w:r>
      <w:r w:rsidR="00983858" w:rsidRPr="00581C17">
        <w:rPr>
          <w:rFonts w:ascii="Calibri" w:hAnsi="Calibri" w:cs="Times New Roman"/>
          <w:color w:val="17365D" w:themeColor="text2" w:themeShade="BF"/>
          <w:spacing w:val="-2"/>
        </w:rPr>
        <w:t>. Sur demande,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il rend compte 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à l</w:t>
      </w:r>
      <w:r w:rsidR="00983858" w:rsidRPr="00581C17">
        <w:rPr>
          <w:rFonts w:ascii="Calibri" w:hAnsi="Calibri" w:cs="Times New Roman"/>
          <w:color w:val="17365D" w:themeColor="text2" w:themeShade="BF"/>
          <w:spacing w:val="-2"/>
        </w:rPr>
        <w:t>’AID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des dispositions prises et des formalités accomplies.</w:t>
      </w:r>
    </w:p>
    <w:p w14:paraId="078660C8" w14:textId="4559CC02" w:rsidR="005E1B67" w:rsidRPr="00581C17" w:rsidRDefault="00BA796E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3.3 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>L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es </w:t>
      </w:r>
      <w:r w:rsidR="00E83531">
        <w:rPr>
          <w:rFonts w:ascii="Calibri" w:hAnsi="Calibri" w:cs="Times New Roman"/>
          <w:color w:val="17365D" w:themeColor="text2" w:themeShade="BF"/>
          <w:spacing w:val="-2"/>
        </w:rPr>
        <w:t>D</w:t>
      </w:r>
      <w:r w:rsidR="00771467" w:rsidRPr="00581C17">
        <w:rPr>
          <w:rFonts w:ascii="Calibri" w:hAnsi="Calibri" w:cs="Times New Roman"/>
          <w:color w:val="17365D" w:themeColor="text2" w:themeShade="BF"/>
          <w:spacing w:val="-2"/>
        </w:rPr>
        <w:t>ocuments à fournir</w:t>
      </w:r>
      <w:r w:rsidR="00AD7903">
        <w:rPr>
          <w:rStyle w:val="Appelnotedebasdep"/>
          <w:rFonts w:ascii="Calibri" w:hAnsi="Calibri" w:cs="Times New Roman"/>
          <w:color w:val="17365D" w:themeColor="text2" w:themeShade="BF"/>
          <w:spacing w:val="-2"/>
        </w:rPr>
        <w:footnoteReference w:id="3"/>
      </w:r>
      <w:r w:rsidR="0077146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ou informations transmises lors du suivi 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 xml:space="preserve">du projet 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>peuvent être communiqués aux entités d</w:t>
      </w:r>
      <w:r w:rsidR="009B3E1B" w:rsidRPr="00581C17">
        <w:rPr>
          <w:rFonts w:ascii="Calibri" w:hAnsi="Calibri" w:cs="Times New Roman"/>
          <w:color w:val="17365D" w:themeColor="text2" w:themeShade="BF"/>
          <w:spacing w:val="-2"/>
        </w:rPr>
        <w:t>épendant organiquement d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>u ministère des armées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 xml:space="preserve"> ; </w:t>
      </w:r>
      <w:r w:rsidR="00771467" w:rsidRPr="00581C17">
        <w:rPr>
          <w:rFonts w:ascii="Calibri" w:hAnsi="Calibri" w:cs="Times New Roman"/>
          <w:color w:val="17365D" w:themeColor="text2" w:themeShade="BF"/>
          <w:spacing w:val="-2"/>
        </w:rPr>
        <w:t>les organismes sous tutelle du ministère des armées n</w:t>
      </w:r>
      <w:r w:rsidR="0050472F">
        <w:rPr>
          <w:rFonts w:ascii="Calibri" w:hAnsi="Calibri" w:cs="Times New Roman"/>
          <w:color w:val="17365D" w:themeColor="text2" w:themeShade="BF"/>
          <w:spacing w:val="-2"/>
        </w:rPr>
        <w:t>’auront pas d’accès à ces informations</w:t>
      </w:r>
      <w:r w:rsidR="005B7A11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. 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 xml:space="preserve">Sur demande écrite du Bénéficiaire, les </w:t>
      </w:r>
      <w:r w:rsidR="00A36C3B">
        <w:rPr>
          <w:rFonts w:ascii="Calibri" w:hAnsi="Calibri" w:cs="Times New Roman"/>
          <w:color w:val="17365D" w:themeColor="text2" w:themeShade="BF"/>
          <w:spacing w:val="-2"/>
        </w:rPr>
        <w:t>D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 xml:space="preserve">ocuments à fournir ou informations transmises lors du suivi du projet ne sont pas transmis aux entités du ministère des armées conduisant elle-même une activité de recherche. </w:t>
      </w:r>
    </w:p>
    <w:p w14:paraId="493B8863" w14:textId="3E9C5E03" w:rsidR="00D1043C" w:rsidRPr="00581C17" w:rsidRDefault="005E1B67" w:rsidP="00AC7A27">
      <w:pPr>
        <w:spacing w:before="120" w:after="0" w:line="240" w:lineRule="auto"/>
        <w:jc w:val="both"/>
        <w:rPr>
          <w:snapToGrid w:val="0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3.4 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>Sans préjudice de la protection des informations appartenant au</w:t>
      </w:r>
      <w:r w:rsidR="004128BE" w:rsidRPr="00581C17">
        <w:rPr>
          <w:rFonts w:ascii="Calibri" w:hAnsi="Calibri" w:cs="Times New Roman"/>
          <w:color w:val="17365D" w:themeColor="text2" w:themeShade="BF"/>
          <w:spacing w:val="-2"/>
        </w:rPr>
        <w:t>(x)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>B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>énéficiaire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(s) et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>(s)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</w:t>
      </w:r>
      <w:r w:rsidR="005B7A11"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es </w:t>
      </w:r>
      <w:r w:rsidR="00FF44C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fournitures, informations, documents et le cas échéant logiciels communiqués lors du suivi du projet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peuvent être utilisés par le 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>ministère des armées pour sa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mission de </w:t>
      </w:r>
      <w:r w:rsidR="004E4FEB" w:rsidRPr="00581C17">
        <w:rPr>
          <w:rFonts w:ascii="Calibri" w:hAnsi="Calibri" w:cs="Times New Roman"/>
          <w:color w:val="17365D" w:themeColor="text2" w:themeShade="BF"/>
          <w:spacing w:val="-2"/>
        </w:rPr>
        <w:t>défense</w:t>
      </w:r>
      <w:r w:rsidR="00FF44C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et/ou de service public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. Ceci exclut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toute 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autre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forme d’utilisation </w:t>
      </w:r>
      <w:r w:rsidR="00D1043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notamment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commerciale directe ou indirecte</w:t>
      </w:r>
      <w:r w:rsidR="004E4FEB" w:rsidRPr="00581C17">
        <w:rPr>
          <w:snapToGrid w:val="0"/>
        </w:rPr>
        <w:t>.</w:t>
      </w:r>
      <w:r w:rsidR="00D1043C" w:rsidRPr="00581C17">
        <w:rPr>
          <w:snapToGrid w:val="0"/>
        </w:rPr>
        <w:t xml:space="preserve"> </w:t>
      </w:r>
    </w:p>
    <w:p w14:paraId="0BEC0C7E" w14:textId="77777777" w:rsidR="00451D36" w:rsidRPr="00581C17" w:rsidRDefault="00451D36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>4 – Dispositions spécifiques aux brevets</w:t>
      </w:r>
      <w:r w:rsidR="00F21CA8" w:rsidRPr="00581C17">
        <w:rPr>
          <w:rFonts w:ascii="Calibri" w:hAnsi="Calibri" w:cs="Times New Roman"/>
          <w:i/>
          <w:color w:val="17365D" w:themeColor="text2" w:themeShade="BF"/>
        </w:rPr>
        <w:t xml:space="preserve"> et logiciels</w:t>
      </w:r>
    </w:p>
    <w:p w14:paraId="79A7FF08" w14:textId="21F3EDB1" w:rsidR="00451D36" w:rsidRPr="00581C17" w:rsidRDefault="00451D36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4.1 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>Sauf a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utorisation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préalable écrit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e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e la DGA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>, l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 premier dépôt des demandes de brevet concernant les inventions nées ou mises au point à l'occasion de l'exécution de la </w:t>
      </w:r>
      <w:r w:rsidR="00B366EE">
        <w:rPr>
          <w:rFonts w:ascii="Calibri" w:hAnsi="Calibri" w:cs="Times New Roman"/>
          <w:color w:val="17365D" w:themeColor="text2" w:themeShade="BF"/>
          <w:spacing w:val="-2"/>
        </w:rPr>
        <w:t>C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onvention est effectué en France.</w:t>
      </w:r>
      <w:r w:rsidR="0099472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Le dépôt comprendra une déclaration de rattachement à la présente </w:t>
      </w:r>
      <w:r w:rsidR="00B366EE">
        <w:rPr>
          <w:rFonts w:ascii="Calibri" w:hAnsi="Calibri" w:cs="Times New Roman"/>
          <w:color w:val="17365D" w:themeColor="text2" w:themeShade="BF"/>
          <w:spacing w:val="-2"/>
        </w:rPr>
        <w:t>C</w:t>
      </w:r>
      <w:r w:rsidR="0099472A" w:rsidRPr="00581C17">
        <w:rPr>
          <w:rFonts w:ascii="Calibri" w:hAnsi="Calibri" w:cs="Times New Roman"/>
          <w:color w:val="17365D" w:themeColor="text2" w:themeShade="BF"/>
          <w:spacing w:val="-2"/>
        </w:rPr>
        <w:t>onvention.</w:t>
      </w:r>
    </w:p>
    <w:p w14:paraId="3CEFDE20" w14:textId="77777777" w:rsidR="00451D36" w:rsidRPr="00581C17" w:rsidRDefault="00451D36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4.2 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>Sauf a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utorisation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préalable écrit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e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de la 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DGA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>, 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n cas de demandes de brevets européen ou 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 xml:space="preserve">de demande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international</w:t>
      </w:r>
      <w:r w:rsidR="00830A18">
        <w:rPr>
          <w:rFonts w:ascii="Calibri" w:hAnsi="Calibri" w:cs="Times New Roman"/>
          <w:color w:val="17365D" w:themeColor="text2" w:themeShade="BF"/>
          <w:spacing w:val="-2"/>
        </w:rPr>
        <w:t>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, lesdites demandes viseront la France.</w:t>
      </w:r>
    </w:p>
    <w:p w14:paraId="59295428" w14:textId="6C7BC9DF" w:rsidR="00451D36" w:rsidRPr="00581C17" w:rsidRDefault="00451D36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4.3 </w:t>
      </w:r>
      <w:r w:rsidR="008D3E33" w:rsidRPr="00581C17">
        <w:rPr>
          <w:rFonts w:ascii="Calibri" w:hAnsi="Calibri" w:cs="Times New Roman"/>
          <w:color w:val="17365D" w:themeColor="text2" w:themeShade="BF"/>
          <w:spacing w:val="-2"/>
        </w:rPr>
        <w:t>Le Bénéficiaire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s’engage à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conc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>é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de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>r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99472A" w:rsidRPr="00581C17">
        <w:rPr>
          <w:rFonts w:ascii="Calibri" w:hAnsi="Calibri" w:cs="Times New Roman"/>
          <w:color w:val="17365D" w:themeColor="text2" w:themeShade="BF"/>
          <w:spacing w:val="-2"/>
        </w:rPr>
        <w:t>sur demande de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la 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>DGA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pour ses besoins propres, le cas échéant dans le cadre d’une coopération, une licence d'exploitation 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non exclusive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pour les brevets mentionnés ci-dessus</w:t>
      </w:r>
      <w:r w:rsidR="00406FB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ou pour des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logiciels issus du projet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, avec possibilité de sous licence</w:t>
      </w:r>
      <w:r w:rsidR="0027551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dans </w:t>
      </w:r>
      <w:r w:rsidR="005B7A11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des conditions justes et raisonnables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en cohérence avec le contexte et les objectifs de l’appel à projets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</w:p>
    <w:p w14:paraId="218E56E7" w14:textId="4C2ED3CA" w:rsidR="00451D36" w:rsidRPr="00581C17" w:rsidRDefault="00451D36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4.4 Il incombe </w:t>
      </w:r>
      <w:r w:rsidR="008D3E33" w:rsidRPr="00581C17">
        <w:rPr>
          <w:rFonts w:ascii="Calibri" w:hAnsi="Calibri" w:cs="Times New Roman"/>
          <w:color w:val="17365D" w:themeColor="text2" w:themeShade="BF"/>
          <w:spacing w:val="-2"/>
        </w:rPr>
        <w:t>au Bénéficiaire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de prendre toutes les dispositions pour préserver les droits </w:t>
      </w:r>
      <w:r w:rsidR="00F21CA8" w:rsidRPr="00581C17">
        <w:rPr>
          <w:rFonts w:ascii="Calibri" w:hAnsi="Calibri" w:cs="Times New Roman"/>
          <w:color w:val="17365D" w:themeColor="text2" w:themeShade="BF"/>
          <w:spacing w:val="-2"/>
        </w:rPr>
        <w:t>décrits dans les présentes clauses et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accomplir à ses frais les formalités nécessaires pour que ces droits soient opposables aux tiers</w:t>
      </w:r>
      <w:r w:rsidR="008A19B8" w:rsidRPr="00581C17">
        <w:rPr>
          <w:rFonts w:ascii="Calibri" w:hAnsi="Calibri" w:cs="Times New Roman"/>
          <w:color w:val="17365D" w:themeColor="text2" w:themeShade="BF"/>
          <w:spacing w:val="-2"/>
        </w:rPr>
        <w:t>. S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>ur la demande d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 </w:t>
      </w:r>
      <w:r w:rsidR="00B546AC"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="008A19B8" w:rsidRPr="00581C17">
        <w:rPr>
          <w:rFonts w:ascii="Calibri" w:hAnsi="Calibri" w:cs="Times New Roman"/>
          <w:color w:val="17365D" w:themeColor="text2" w:themeShade="BF"/>
          <w:spacing w:val="-2"/>
        </w:rPr>
        <w:t>a DGA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il </w:t>
      </w:r>
      <w:r w:rsidR="001A101B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lui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rend compte des dispositions prises et des formalités accomplies.</w:t>
      </w:r>
    </w:p>
    <w:p w14:paraId="6CA8A39F" w14:textId="57B8081E" w:rsidR="001B1D75" w:rsidRPr="00581C17" w:rsidRDefault="001B1D75" w:rsidP="00AC7A27">
      <w:pPr>
        <w:spacing w:before="120"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4.5 En cas d’abandon d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’un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brevet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ou d</w:t>
      </w:r>
      <w:r w:rsidR="007D7103" w:rsidRPr="00581C17">
        <w:rPr>
          <w:rFonts w:ascii="Calibri" w:hAnsi="Calibri" w:cs="Times New Roman"/>
          <w:color w:val="17365D" w:themeColor="text2" w:themeShade="BF"/>
          <w:spacing w:val="-2"/>
        </w:rPr>
        <w:t>’une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quote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>-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part d’un brevet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par le </w:t>
      </w:r>
      <w:r w:rsidR="004E4FEB" w:rsidRPr="00581C17">
        <w:rPr>
          <w:rFonts w:ascii="Calibri" w:hAnsi="Calibri" w:cs="Times New Roman"/>
          <w:color w:val="17365D" w:themeColor="text2" w:themeShade="BF"/>
          <w:spacing w:val="-2"/>
        </w:rPr>
        <w:t>B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énéficia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>i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re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et dans le cas où les autres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 ne souhaitent pas reprendre les droits,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celui-ci doit prévenir </w:t>
      </w:r>
      <w:r w:rsidR="004F035E" w:rsidRPr="00581C17">
        <w:rPr>
          <w:rFonts w:ascii="Calibri" w:hAnsi="Calibri" w:cs="Times New Roman"/>
          <w:color w:val="17365D" w:themeColor="text2" w:themeShade="BF"/>
          <w:spacing w:val="-2"/>
        </w:rPr>
        <w:t>la DGA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176519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en vue de donner à celle-ci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 droit à une reprise éventuelle à titre gratuit.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Dans un tel cas, la DGA concèdera au </w:t>
      </w:r>
      <w:r w:rsidR="004E4FEB" w:rsidRPr="00581C17">
        <w:rPr>
          <w:rFonts w:ascii="Calibri" w:hAnsi="Calibri" w:cs="Times New Roman"/>
          <w:color w:val="17365D" w:themeColor="text2" w:themeShade="BF"/>
          <w:spacing w:val="-2"/>
        </w:rPr>
        <w:t>B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énéficiaire une licence à titre gratuit.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Sans réponse dans un délai de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3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mois, la réponse du ministère</w:t>
      </w:r>
      <w:r w:rsidR="004F1F19">
        <w:rPr>
          <w:rFonts w:ascii="Calibri" w:hAnsi="Calibri" w:cs="Times New Roman"/>
          <w:color w:val="17365D" w:themeColor="text2" w:themeShade="BF"/>
          <w:spacing w:val="-2"/>
        </w:rPr>
        <w:t xml:space="preserve"> des armées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est réputée négative</w:t>
      </w:r>
      <w:r w:rsidR="00B65897">
        <w:rPr>
          <w:rFonts w:ascii="Calibri" w:hAnsi="Calibri" w:cs="Times New Roman"/>
          <w:color w:val="17365D" w:themeColor="text2" w:themeShade="BF"/>
          <w:spacing w:val="-2"/>
        </w:rPr>
        <w:t xml:space="preserve"> (c’</w:t>
      </w:r>
      <w:r w:rsidR="001969C9">
        <w:rPr>
          <w:rFonts w:ascii="Calibri" w:hAnsi="Calibri" w:cs="Times New Roman"/>
          <w:color w:val="17365D" w:themeColor="text2" w:themeShade="BF"/>
          <w:spacing w:val="-2"/>
        </w:rPr>
        <w:t>est-à-dire qu’</w:t>
      </w:r>
      <w:r w:rsidR="00B65897">
        <w:rPr>
          <w:rFonts w:ascii="Calibri" w:hAnsi="Calibri" w:cs="Times New Roman"/>
          <w:color w:val="17365D" w:themeColor="text2" w:themeShade="BF"/>
          <w:spacing w:val="-2"/>
        </w:rPr>
        <w:t>il n’y aura pas de reprise par la DGA)</w:t>
      </w:r>
      <w:r w:rsidR="004E4FEB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</w:p>
    <w:p w14:paraId="1C9A0473" w14:textId="4A1C44EF" w:rsidR="00451D36" w:rsidRPr="00581C17" w:rsidRDefault="00451D36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 xml:space="preserve">5 </w:t>
      </w:r>
      <w:r w:rsidR="008E25BA" w:rsidRPr="00581C17">
        <w:rPr>
          <w:rFonts w:ascii="Calibri" w:hAnsi="Calibri" w:cs="Times New Roman"/>
          <w:i/>
          <w:color w:val="17365D" w:themeColor="text2" w:themeShade="BF"/>
        </w:rPr>
        <w:t xml:space="preserve">- </w:t>
      </w:r>
      <w:r w:rsidRPr="00581C17">
        <w:rPr>
          <w:rFonts w:ascii="Calibri" w:hAnsi="Calibri" w:cs="Times New Roman"/>
          <w:i/>
          <w:color w:val="17365D" w:themeColor="text2" w:themeShade="BF"/>
        </w:rPr>
        <w:t xml:space="preserve">Transfert </w:t>
      </w:r>
      <w:r w:rsidR="006738A4" w:rsidRPr="00581C17">
        <w:rPr>
          <w:rFonts w:ascii="Calibri" w:hAnsi="Calibri" w:cs="Times New Roman"/>
          <w:i/>
          <w:color w:val="17365D" w:themeColor="text2" w:themeShade="BF"/>
        </w:rPr>
        <w:t xml:space="preserve">de propriété </w:t>
      </w:r>
      <w:r w:rsidRPr="00581C17">
        <w:rPr>
          <w:rFonts w:ascii="Calibri" w:hAnsi="Calibri" w:cs="Times New Roman"/>
          <w:i/>
          <w:color w:val="17365D" w:themeColor="text2" w:themeShade="BF"/>
        </w:rPr>
        <w:t xml:space="preserve">et concession de licence sur des </w:t>
      </w:r>
      <w:r w:rsidR="008E25BA" w:rsidRPr="00581C17">
        <w:rPr>
          <w:rFonts w:ascii="Calibri" w:hAnsi="Calibri" w:cs="Times New Roman"/>
          <w:i/>
          <w:color w:val="17365D" w:themeColor="text2" w:themeShade="BF"/>
        </w:rPr>
        <w:t xml:space="preserve">Résultats obtenus dans le cadre du </w:t>
      </w:r>
      <w:r w:rsidR="00F76251" w:rsidRPr="00581C17">
        <w:rPr>
          <w:rFonts w:ascii="Calibri" w:hAnsi="Calibri" w:cs="Times New Roman"/>
          <w:i/>
          <w:color w:val="17365D" w:themeColor="text2" w:themeShade="BF"/>
        </w:rPr>
        <w:t>p</w:t>
      </w:r>
      <w:r w:rsidR="008E25BA" w:rsidRPr="00581C17">
        <w:rPr>
          <w:rFonts w:ascii="Calibri" w:hAnsi="Calibri" w:cs="Times New Roman"/>
          <w:i/>
          <w:color w:val="17365D" w:themeColor="text2" w:themeShade="BF"/>
        </w:rPr>
        <w:t>rojet</w:t>
      </w:r>
    </w:p>
    <w:p w14:paraId="5BA962A7" w14:textId="77777777" w:rsidR="00403547" w:rsidRPr="00581C17" w:rsidRDefault="00403547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Pour les besoins de l’article 5 (tous </w:t>
      </w:r>
      <w:r w:rsidR="00581C17" w:rsidRPr="00581C17">
        <w:rPr>
          <w:rFonts w:ascii="Calibri" w:hAnsi="Calibri" w:cs="Times New Roman"/>
          <w:color w:val="17365D" w:themeColor="text2" w:themeShade="BF"/>
          <w:spacing w:val="-2"/>
        </w:rPr>
        <w:t>alinéa</w:t>
      </w:r>
      <w:r w:rsidR="000666EC">
        <w:rPr>
          <w:rFonts w:ascii="Calibri" w:hAnsi="Calibri" w:cs="Times New Roman"/>
          <w:color w:val="17365D" w:themeColor="text2" w:themeShade="BF"/>
          <w:spacing w:val="-2"/>
        </w:rPr>
        <w:t>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), il est précisé que les Résu</w:t>
      </w:r>
      <w:r w:rsidR="00F76251" w:rsidRPr="00581C17">
        <w:rPr>
          <w:rFonts w:ascii="Calibri" w:hAnsi="Calibri" w:cs="Times New Roman"/>
          <w:color w:val="17365D" w:themeColor="text2" w:themeShade="BF"/>
          <w:spacing w:val="-2"/>
        </w:rPr>
        <w:t>ltats obtenus dans le cadre du p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rojet ne comprennent pas les comptes rendus, documents de synthèse et présentations.</w:t>
      </w:r>
    </w:p>
    <w:p w14:paraId="0C3A8753" w14:textId="77777777" w:rsidR="00403547" w:rsidRPr="00581C17" w:rsidRDefault="00403547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3C6628C9" w14:textId="42198E11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i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lastRenderedPageBreak/>
        <w:t xml:space="preserve">5.1 </w:t>
      </w:r>
      <w:r w:rsidR="008E25BA" w:rsidRPr="00581C17">
        <w:rPr>
          <w:rFonts w:ascii="Calibri" w:hAnsi="Calibri" w:cs="Times New Roman"/>
          <w:color w:val="17365D" w:themeColor="text2" w:themeShade="BF"/>
          <w:spacing w:val="-2"/>
        </w:rPr>
        <w:t>Le Bénéficiaire peu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t concéder des licences non exclusives sur les </w:t>
      </w:r>
      <w:r w:rsidR="008E25B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Résultats obtenus dans le cadre du </w:t>
      </w:r>
      <w:r w:rsidR="00F76251" w:rsidRPr="00581C17">
        <w:rPr>
          <w:rFonts w:ascii="Calibri" w:hAnsi="Calibri" w:cs="Times New Roman"/>
          <w:color w:val="17365D" w:themeColor="text2" w:themeShade="BF"/>
          <w:spacing w:val="-2"/>
        </w:rPr>
        <w:t>p</w:t>
      </w:r>
      <w:r w:rsidR="008E25BA" w:rsidRPr="00581C17">
        <w:rPr>
          <w:rFonts w:ascii="Calibri" w:hAnsi="Calibri" w:cs="Times New Roman"/>
          <w:color w:val="17365D" w:themeColor="text2" w:themeShade="BF"/>
          <w:spacing w:val="-2"/>
        </w:rPr>
        <w:t>rojet</w:t>
      </w:r>
      <w:r w:rsidRPr="00581C17">
        <w:rPr>
          <w:rFonts w:ascii="Calibri" w:hAnsi="Calibri" w:cs="Times New Roman"/>
          <w:i/>
          <w:color w:val="17365D" w:themeColor="text2" w:themeShade="BF"/>
          <w:spacing w:val="-2"/>
        </w:rPr>
        <w:t>.</w:t>
      </w:r>
      <w:r w:rsidR="00D459F5" w:rsidRPr="00581C17">
        <w:rPr>
          <w:rFonts w:ascii="Calibri" w:hAnsi="Calibri" w:cs="Times New Roman"/>
          <w:i/>
          <w:color w:val="17365D" w:themeColor="text2" w:themeShade="BF"/>
          <w:spacing w:val="-2"/>
        </w:rPr>
        <w:t xml:space="preserve"> </w:t>
      </w:r>
      <w:r w:rsidR="001637F3" w:rsidRPr="00581C17">
        <w:rPr>
          <w:rFonts w:ascii="Calibri" w:hAnsi="Calibri" w:cs="Times New Roman"/>
          <w:color w:val="17365D" w:themeColor="text2" w:themeShade="BF"/>
          <w:spacing w:val="-2"/>
        </w:rPr>
        <w:t>Sur demande de l</w:t>
      </w:r>
      <w:r w:rsidR="00B546AC" w:rsidRPr="00581C17">
        <w:rPr>
          <w:rFonts w:ascii="Calibri" w:hAnsi="Calibri" w:cs="Times New Roman"/>
          <w:color w:val="17365D" w:themeColor="text2" w:themeShade="BF"/>
          <w:spacing w:val="-2"/>
        </w:rPr>
        <w:t>’A</w:t>
      </w:r>
      <w:r w:rsidR="00176519" w:rsidRPr="00581C17">
        <w:rPr>
          <w:rFonts w:ascii="Calibri" w:hAnsi="Calibri" w:cs="Times New Roman"/>
          <w:color w:val="17365D" w:themeColor="text2" w:themeShade="BF"/>
          <w:spacing w:val="-2"/>
        </w:rPr>
        <w:t>ID</w:t>
      </w:r>
      <w:r w:rsidR="001637F3" w:rsidRPr="00581C17">
        <w:rPr>
          <w:rFonts w:ascii="Calibri" w:hAnsi="Calibri" w:cs="Times New Roman"/>
          <w:color w:val="17365D" w:themeColor="text2" w:themeShade="BF"/>
          <w:spacing w:val="-2"/>
        </w:rPr>
        <w:t>, le Bénéficiaire transmettra des informations sur ces licences qui</w:t>
      </w:r>
      <w:r w:rsidR="001637F3" w:rsidRPr="00581C17">
        <w:rPr>
          <w:rFonts w:ascii="Calibri" w:hAnsi="Calibri" w:cs="Times New Roman"/>
          <w:i/>
          <w:color w:val="17365D" w:themeColor="text2" w:themeShade="BF"/>
          <w:spacing w:val="-2"/>
        </w:rPr>
        <w:t xml:space="preserve"> </w:t>
      </w:r>
      <w:r w:rsidR="001637F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comprendront </w:t>
      </w:r>
      <w:r w:rsidR="00D459F5" w:rsidRPr="00581C17">
        <w:rPr>
          <w:rFonts w:ascii="Calibri" w:hAnsi="Calibri" w:cs="Times New Roman"/>
          <w:color w:val="17365D" w:themeColor="text2" w:themeShade="BF"/>
          <w:spacing w:val="-2"/>
        </w:rPr>
        <w:t>les coordonnées du titulaire de la licence et une description de son objet</w:t>
      </w:r>
      <w:r w:rsidR="00D459F5" w:rsidRPr="00581C17">
        <w:rPr>
          <w:rFonts w:ascii="Calibri" w:hAnsi="Calibri" w:cs="Times New Roman"/>
          <w:i/>
          <w:color w:val="17365D" w:themeColor="text2" w:themeShade="BF"/>
          <w:spacing w:val="-2"/>
        </w:rPr>
        <w:t>.</w:t>
      </w:r>
      <w:r w:rsidR="00216CD2" w:rsidRPr="00581C17">
        <w:rPr>
          <w:rFonts w:ascii="Calibri" w:hAnsi="Calibri" w:cs="Times New Roman"/>
          <w:i/>
          <w:color w:val="17365D" w:themeColor="text2" w:themeShade="BF"/>
          <w:spacing w:val="-2"/>
        </w:rPr>
        <w:t xml:space="preserve"> </w:t>
      </w:r>
    </w:p>
    <w:p w14:paraId="36377240" w14:textId="77777777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i/>
          <w:color w:val="17365D" w:themeColor="text2" w:themeShade="BF"/>
          <w:spacing w:val="-2"/>
        </w:rPr>
      </w:pPr>
    </w:p>
    <w:p w14:paraId="0826C2D1" w14:textId="2A584256" w:rsidR="00451D36" w:rsidRPr="00581C17" w:rsidRDefault="00451D36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5.2 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Le Bénéficiaire doit </w:t>
      </w:r>
      <w:r w:rsidR="00765740" w:rsidRPr="00581C17">
        <w:rPr>
          <w:rFonts w:ascii="Calibri" w:hAnsi="Calibri" w:cs="Times New Roman"/>
          <w:b/>
          <w:color w:val="17365D" w:themeColor="text2" w:themeShade="BF"/>
          <w:spacing w:val="-2"/>
        </w:rPr>
        <w:t>informer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l’AID 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de tout projet de transfert de propriété, total ou partiel, ou 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de tout projet de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concession d'une licence exclusive à des tiers</w:t>
      </w:r>
      <w:r w:rsidR="004E4E7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non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4D47E6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4E4E7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du projet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sur des Résultats obtenus dans le cadre du projet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. 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>Ce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transfert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s ou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concession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s 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ont soumis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à délivrance 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par l’AID 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>d’une autorisation écrite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, sans préjudice des obligations relatives au contrôle d’exportation</w:t>
      </w:r>
      <w:r w:rsidR="00D44920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="005C10F6" w:rsidRPr="00581C17">
        <w:rPr>
          <w:rFonts w:ascii="Calibri" w:hAnsi="Calibri" w:cs="Times New Roman"/>
          <w:color w:val="17365D" w:themeColor="text2" w:themeShade="BF"/>
          <w:spacing w:val="-2"/>
        </w:rPr>
        <w:t>e ministère des armées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Pr="00581C17">
        <w:rPr>
          <w:rFonts w:ascii="Calibri" w:hAnsi="Calibri" w:cs="Times New Roman"/>
          <w:b/>
          <w:color w:val="17365D" w:themeColor="text2" w:themeShade="BF"/>
          <w:spacing w:val="-2"/>
        </w:rPr>
        <w:t>peut s'opposer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dans un délai de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3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mois à compter de la transmission des informations relative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au projet,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à un transfert de propriété </w:t>
      </w:r>
      <w:r w:rsidR="0076574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total ou partiel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ou à la concession d'une licence exclusive à des tiers </w:t>
      </w:r>
      <w:r w:rsidR="004E4E7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non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>Partenaire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4E4E7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du projet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lorsqu'</w:t>
      </w:r>
      <w:r w:rsidR="004128BE" w:rsidRPr="00581C17">
        <w:rPr>
          <w:rFonts w:ascii="Calibri" w:hAnsi="Calibri" w:cs="Times New Roman"/>
          <w:color w:val="17365D" w:themeColor="text2" w:themeShade="BF"/>
          <w:spacing w:val="-2"/>
        </w:rPr>
        <w:t>il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estime que ledit transfert ou ladite concession </w:t>
      </w:r>
      <w:r w:rsidR="0016546F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ne préserve pas suffisamment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a sécurité d’accès aux technologies </w:t>
      </w:r>
      <w:r w:rsidR="00564B78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ayant des applications potentielles 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pour </w:t>
      </w:r>
      <w:r w:rsidR="00564B78" w:rsidRPr="00581C17">
        <w:rPr>
          <w:rFonts w:ascii="Calibri" w:hAnsi="Calibri" w:cs="Times New Roman"/>
          <w:color w:val="17365D" w:themeColor="text2" w:themeShade="BF"/>
          <w:spacing w:val="-2"/>
        </w:rPr>
        <w:t>la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défense</w:t>
      </w:r>
      <w:r w:rsidR="00635246" w:rsidRPr="00AC7A27">
        <w:rPr>
          <w:rFonts w:ascii="Calibri" w:hAnsi="Calibri" w:cs="Times New Roman"/>
          <w:color w:val="17365D" w:themeColor="text2" w:themeShade="BF"/>
          <w:spacing w:val="-2"/>
        </w:rPr>
        <w:t>.</w:t>
      </w:r>
    </w:p>
    <w:p w14:paraId="520C7CEE" w14:textId="77777777" w:rsidR="00AA259F" w:rsidRPr="00581C17" w:rsidRDefault="00AA259F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4421885C" w14:textId="77777777" w:rsidR="00AA259F" w:rsidRPr="00581C17" w:rsidRDefault="00AA259F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5.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3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="00635246" w:rsidRPr="00581C17">
        <w:rPr>
          <w:rFonts w:ascii="Calibri" w:hAnsi="Calibri" w:cs="Times New Roman"/>
          <w:color w:val="17365D" w:themeColor="text2" w:themeShade="BF"/>
          <w:spacing w:val="-2"/>
        </w:rPr>
        <w:t>e cas échéant, l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’</w:t>
      </w:r>
      <w:r w:rsidR="006A07EE" w:rsidRPr="00581C17">
        <w:rPr>
          <w:rFonts w:ascii="Calibri" w:hAnsi="Calibri" w:cs="Times New Roman"/>
          <w:color w:val="17365D" w:themeColor="text2" w:themeShade="BF"/>
          <w:spacing w:val="-2"/>
        </w:rPr>
        <w:t>autorisation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visée au </w:t>
      </w:r>
      <w:r w:rsidR="008936B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paragraphe 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>5.2</w:t>
      </w:r>
      <w:r w:rsidR="006A07EE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pourra être soumise à des conditions à satisfaire</w:t>
      </w:r>
      <w:r w:rsidR="000C38B0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par le </w:t>
      </w:r>
      <w:r w:rsidR="00635246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bénéficiaire du transfert 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de propriété </w:t>
      </w:r>
      <w:r w:rsidR="00635246" w:rsidRPr="00581C17">
        <w:rPr>
          <w:rFonts w:ascii="Calibri" w:hAnsi="Calibri" w:cs="Times New Roman"/>
          <w:color w:val="17365D" w:themeColor="text2" w:themeShade="BF"/>
          <w:spacing w:val="-2"/>
        </w:rPr>
        <w:t>ou de la concession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d’une licence exclusive</w:t>
      </w:r>
      <w:r w:rsidR="006A07EE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</w:p>
    <w:p w14:paraId="5578F95A" w14:textId="77777777" w:rsidR="0016546F" w:rsidRPr="00581C17" w:rsidRDefault="006738A4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 xml:space="preserve">6 </w:t>
      </w:r>
      <w:r w:rsidR="0016546F" w:rsidRPr="00581C17">
        <w:rPr>
          <w:rFonts w:ascii="Calibri" w:hAnsi="Calibri" w:cs="Times New Roman"/>
          <w:i/>
          <w:color w:val="17365D" w:themeColor="text2" w:themeShade="BF"/>
        </w:rPr>
        <w:t>– Conditions de recouvrement de l’aide</w:t>
      </w:r>
    </w:p>
    <w:p w14:paraId="1D02D9EC" w14:textId="46AB19A3" w:rsidR="009E114F" w:rsidRPr="00581C17" w:rsidRDefault="00635246" w:rsidP="00AC7A27">
      <w:pPr>
        <w:spacing w:before="240" w:after="240" w:line="240" w:lineRule="auto"/>
        <w:jc w:val="both"/>
        <w:rPr>
          <w:rFonts w:ascii="Calibri" w:hAnsi="Calibri" w:cs="Times New Roman"/>
          <w:color w:val="17365D" w:themeColor="text2" w:themeShade="BF"/>
        </w:rPr>
      </w:pPr>
      <w:r w:rsidRPr="00581C17">
        <w:rPr>
          <w:rFonts w:ascii="Calibri" w:hAnsi="Calibri" w:cs="Times New Roman"/>
          <w:color w:val="17365D" w:themeColor="text2" w:themeShade="BF"/>
        </w:rPr>
        <w:t>Il est</w:t>
      </w:r>
      <w:r w:rsidR="00BF6F2E" w:rsidRPr="00581C17">
        <w:rPr>
          <w:rFonts w:ascii="Calibri" w:hAnsi="Calibri" w:cs="Times New Roman"/>
          <w:color w:val="17365D" w:themeColor="text2" w:themeShade="BF"/>
        </w:rPr>
        <w:t xml:space="preserve"> rappelé que le non-respect des </w:t>
      </w:r>
      <w:r w:rsidRPr="00581C17">
        <w:rPr>
          <w:rFonts w:ascii="Calibri" w:hAnsi="Calibri" w:cs="Times New Roman"/>
          <w:color w:val="17365D" w:themeColor="text2" w:themeShade="BF"/>
        </w:rPr>
        <w:t xml:space="preserve">présentes </w:t>
      </w:r>
      <w:r w:rsidR="00BF6F2E" w:rsidRPr="00581C17">
        <w:rPr>
          <w:rFonts w:ascii="Calibri" w:hAnsi="Calibri" w:cs="Times New Roman"/>
          <w:color w:val="17365D" w:themeColor="text2" w:themeShade="BF"/>
        </w:rPr>
        <w:t xml:space="preserve">conditions spécifiques de la </w:t>
      </w:r>
      <w:r w:rsidR="00B261F3">
        <w:rPr>
          <w:rFonts w:ascii="Calibri" w:hAnsi="Calibri" w:cs="Times New Roman"/>
          <w:color w:val="17365D" w:themeColor="text2" w:themeShade="BF"/>
        </w:rPr>
        <w:t>C</w:t>
      </w:r>
      <w:r w:rsidR="00BF6F2E" w:rsidRPr="00581C17">
        <w:rPr>
          <w:rFonts w:ascii="Calibri" w:hAnsi="Calibri" w:cs="Times New Roman"/>
          <w:color w:val="17365D" w:themeColor="text2" w:themeShade="BF"/>
        </w:rPr>
        <w:t>onvention peut avoir pour effet la mise en œuvr</w:t>
      </w:r>
      <w:r w:rsidRPr="00581C17">
        <w:rPr>
          <w:rFonts w:ascii="Calibri" w:hAnsi="Calibri" w:cs="Times New Roman"/>
          <w:color w:val="17365D" w:themeColor="text2" w:themeShade="BF"/>
        </w:rPr>
        <w:t>e des dispositions relatives au</w:t>
      </w:r>
      <w:r w:rsidR="009E114F" w:rsidRPr="00581C17">
        <w:rPr>
          <w:rFonts w:ascii="Calibri" w:hAnsi="Calibri" w:cs="Times New Roman"/>
          <w:color w:val="17365D" w:themeColor="text2" w:themeShade="BF"/>
        </w:rPr>
        <w:t xml:space="preserve"> recouvrement de l’aide précisées </w:t>
      </w:r>
      <w:r w:rsidR="00B83E3B">
        <w:rPr>
          <w:rFonts w:ascii="Calibri" w:hAnsi="Calibri" w:cs="Times New Roman"/>
          <w:color w:val="17365D" w:themeColor="text2" w:themeShade="BF"/>
        </w:rPr>
        <w:t xml:space="preserve">au point 7 </w:t>
      </w:r>
      <w:r w:rsidRPr="00581C17">
        <w:rPr>
          <w:rFonts w:ascii="Calibri" w:hAnsi="Calibri" w:cs="Times New Roman"/>
          <w:color w:val="17365D" w:themeColor="text2" w:themeShade="BF"/>
        </w:rPr>
        <w:t>du</w:t>
      </w:r>
      <w:r w:rsidR="009E114F" w:rsidRPr="00581C17">
        <w:rPr>
          <w:rFonts w:ascii="Calibri" w:hAnsi="Calibri" w:cs="Times New Roman"/>
          <w:color w:val="17365D" w:themeColor="text2" w:themeShade="BF"/>
        </w:rPr>
        <w:t xml:space="preserve"> </w:t>
      </w:r>
      <w:r w:rsidR="00776046">
        <w:rPr>
          <w:rFonts w:ascii="Calibri" w:hAnsi="Calibri" w:cs="Times New Roman"/>
          <w:color w:val="17365D" w:themeColor="text2" w:themeShade="BF"/>
        </w:rPr>
        <w:t>R</w:t>
      </w:r>
      <w:r w:rsidR="009E114F" w:rsidRPr="00581C17">
        <w:rPr>
          <w:rFonts w:ascii="Calibri" w:hAnsi="Calibri" w:cs="Times New Roman"/>
          <w:color w:val="17365D" w:themeColor="text2" w:themeShade="BF"/>
        </w:rPr>
        <w:t>èglement financier</w:t>
      </w:r>
      <w:r w:rsidR="00C01E5D" w:rsidRPr="00581C17">
        <w:rPr>
          <w:rFonts w:ascii="Calibri" w:hAnsi="Calibri" w:cs="Times New Roman"/>
          <w:color w:val="17365D" w:themeColor="text2" w:themeShade="BF"/>
        </w:rPr>
        <w:t xml:space="preserve"> de l’ANR</w:t>
      </w:r>
      <w:r w:rsidR="00D065D3">
        <w:rPr>
          <w:rFonts w:ascii="Calibri" w:hAnsi="Calibri" w:cs="Times New Roman"/>
          <w:color w:val="17365D" w:themeColor="text2" w:themeShade="BF"/>
        </w:rPr>
        <w:t xml:space="preserve"> ou </w:t>
      </w:r>
      <w:r w:rsidR="00CD31E4">
        <w:rPr>
          <w:rFonts w:ascii="Calibri" w:hAnsi="Calibri" w:cs="Times New Roman"/>
          <w:color w:val="17365D" w:themeColor="text2" w:themeShade="BF"/>
        </w:rPr>
        <w:t xml:space="preserve">à </w:t>
      </w:r>
      <w:r w:rsidR="00D065D3">
        <w:rPr>
          <w:rFonts w:ascii="Calibri" w:hAnsi="Calibri" w:cs="Times New Roman"/>
          <w:color w:val="17365D" w:themeColor="text2" w:themeShade="BF"/>
        </w:rPr>
        <w:t xml:space="preserve">un autre point pertinent dudit </w:t>
      </w:r>
      <w:r w:rsidR="00160F13">
        <w:rPr>
          <w:rFonts w:ascii="Calibri" w:hAnsi="Calibri" w:cs="Times New Roman"/>
          <w:color w:val="17365D" w:themeColor="text2" w:themeShade="BF"/>
        </w:rPr>
        <w:t>Règlement</w:t>
      </w:r>
      <w:r w:rsidR="009E114F" w:rsidRPr="00581C17">
        <w:rPr>
          <w:rFonts w:ascii="Calibri" w:hAnsi="Calibri" w:cs="Times New Roman"/>
          <w:color w:val="17365D" w:themeColor="text2" w:themeShade="BF"/>
        </w:rPr>
        <w:t>.</w:t>
      </w:r>
    </w:p>
    <w:p w14:paraId="116EFF9D" w14:textId="77777777" w:rsidR="006738A4" w:rsidRPr="00581C17" w:rsidRDefault="0016546F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 xml:space="preserve">7 </w:t>
      </w:r>
      <w:r w:rsidR="006738A4" w:rsidRPr="00581C17">
        <w:rPr>
          <w:rFonts w:ascii="Calibri" w:hAnsi="Calibri" w:cs="Times New Roman"/>
          <w:i/>
          <w:color w:val="17365D" w:themeColor="text2" w:themeShade="BF"/>
        </w:rPr>
        <w:t xml:space="preserve">– Mise en </w:t>
      </w:r>
      <w:r w:rsidR="00AD76CD" w:rsidRPr="00581C17">
        <w:rPr>
          <w:rFonts w:ascii="Calibri" w:hAnsi="Calibri" w:cs="Times New Roman"/>
          <w:i/>
          <w:color w:val="17365D" w:themeColor="text2" w:themeShade="BF"/>
        </w:rPr>
        <w:t>œuvre</w:t>
      </w:r>
    </w:p>
    <w:p w14:paraId="6A50EB72" w14:textId="0F4A3726" w:rsidR="00685632" w:rsidRPr="00581C17" w:rsidRDefault="00C946C5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7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.1 </w:t>
      </w:r>
      <w:r w:rsidR="008A19B8" w:rsidRPr="00581C17">
        <w:rPr>
          <w:rFonts w:ascii="Calibri" w:hAnsi="Calibri" w:cs="Times New Roman"/>
          <w:color w:val="17365D" w:themeColor="text2" w:themeShade="BF"/>
          <w:spacing w:val="-2"/>
        </w:rPr>
        <w:t>Pour les dispositions prévues à l’article 4, le point de contact est :</w:t>
      </w:r>
      <w:r w:rsidR="004128BE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DGA/DS/BPI (bureau de la propriété intellectuelle) </w:t>
      </w:r>
      <w:r w:rsidR="004128BE" w:rsidRPr="00581C17">
        <w:rPr>
          <w:rFonts w:ascii="Calibri" w:hAnsi="Calibri" w:cs="Times New Roman"/>
          <w:color w:val="17365D" w:themeColor="text2" w:themeShade="BF"/>
          <w:spacing w:val="-2"/>
        </w:rPr>
        <w:t>P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arcelle Est 60 bd du Général Martial Valin</w:t>
      </w:r>
      <w:r w:rsidR="00844835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6738A4" w:rsidRPr="00581C17">
        <w:rPr>
          <w:rFonts w:ascii="Calibri" w:hAnsi="Calibri" w:cs="Times New Roman"/>
          <w:color w:val="17365D" w:themeColor="text2" w:themeShade="BF"/>
          <w:spacing w:val="-2"/>
        </w:rPr>
        <w:t>CS 21623 75509 Paris Cedex 15</w:t>
      </w:r>
      <w:r w:rsidR="008A19B8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</w:p>
    <w:p w14:paraId="3D656435" w14:textId="77777777" w:rsidR="00BF4601" w:rsidRPr="00581C17" w:rsidRDefault="00BF4601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75C21F64" w14:textId="5288E79C" w:rsidR="00BF4601" w:rsidRPr="00581C17" w:rsidRDefault="00BF4601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7.2 Pour les dispositions prévues </w:t>
      </w:r>
      <w:r w:rsidR="0098091C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aux articles 3.2, 3.3 et 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>5, le point de contact est : AID</w:t>
      </w:r>
      <w:r w:rsidR="00F21CA8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(Equipe Astrid)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Parcelle Est 60 bd du Général Martial Valin CS 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>21623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75509 Paris Cedex 15.</w:t>
      </w:r>
    </w:p>
    <w:p w14:paraId="333B2CE0" w14:textId="77777777" w:rsidR="00685632" w:rsidRPr="00581C17" w:rsidRDefault="00685632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0035566F" w14:textId="09852ADE" w:rsidR="00E82983" w:rsidRPr="00581C17" w:rsidRDefault="00C946C5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7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  <w:r w:rsidR="00BF4601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3 </w:t>
      </w:r>
      <w:r w:rsidR="003520DD" w:rsidRPr="00581C17">
        <w:rPr>
          <w:rFonts w:ascii="Calibri" w:hAnsi="Calibri" w:cs="Times New Roman"/>
          <w:color w:val="17365D" w:themeColor="text2" w:themeShade="BF"/>
          <w:spacing w:val="-2"/>
        </w:rPr>
        <w:t>Concernant les demande</w:t>
      </w:r>
      <w:r w:rsidR="00A7147B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8A287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3520DD" w:rsidRPr="00581C17">
        <w:rPr>
          <w:rFonts w:ascii="Calibri" w:hAnsi="Calibri" w:cs="Times New Roman"/>
          <w:color w:val="17365D" w:themeColor="text2" w:themeShade="BF"/>
          <w:spacing w:val="-2"/>
        </w:rPr>
        <w:t>d’avis sur des transferts de propriété ou concession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3520D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de licence exclusive (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article </w:t>
      </w:r>
      <w:r w:rsidR="003520DD" w:rsidRPr="00581C17">
        <w:rPr>
          <w:rFonts w:ascii="Calibri" w:hAnsi="Calibri" w:cs="Times New Roman"/>
          <w:color w:val="17365D" w:themeColor="text2" w:themeShade="BF"/>
          <w:spacing w:val="-2"/>
        </w:rPr>
        <w:t>5.2), l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es</w:t>
      </w:r>
      <w:r w:rsidR="00E8298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informations à transmettre sont :</w:t>
      </w:r>
    </w:p>
    <w:p w14:paraId="194197A0" w14:textId="54CA4BE2" w:rsidR="00E82983" w:rsidRPr="00581C17" w:rsidRDefault="00581C17" w:rsidP="00AC7A27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Références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9E114F" w:rsidRPr="00581C17">
        <w:rPr>
          <w:rFonts w:ascii="Calibri" w:hAnsi="Calibri" w:cs="Times New Roman"/>
          <w:color w:val="17365D" w:themeColor="text2" w:themeShade="BF"/>
          <w:spacing w:val="-2"/>
        </w:rPr>
        <w:t>du brevet</w:t>
      </w:r>
      <w:r w:rsidR="001732E5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ou des R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>ésultats</w:t>
      </w:r>
      <w:r w:rsidR="00B523EA" w:rsidRPr="00B523EA">
        <w:t xml:space="preserve"> </w:t>
      </w:r>
      <w:r w:rsidR="00B523EA" w:rsidRPr="00B523EA">
        <w:rPr>
          <w:rFonts w:ascii="Calibri" w:hAnsi="Calibri" w:cs="Times New Roman"/>
          <w:color w:val="17365D" w:themeColor="text2" w:themeShade="BF"/>
          <w:spacing w:val="-2"/>
        </w:rPr>
        <w:t>obtenus dans le cadre du</w:t>
      </w:r>
      <w:r w:rsidR="00B523EA">
        <w:rPr>
          <w:rFonts w:ascii="Calibri" w:hAnsi="Calibri" w:cs="Times New Roman"/>
          <w:color w:val="17365D" w:themeColor="text2" w:themeShade="BF"/>
          <w:spacing w:val="-2"/>
        </w:rPr>
        <w:t xml:space="preserve"> projet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</w:t>
      </w:r>
    </w:p>
    <w:p w14:paraId="04628A8E" w14:textId="6FCDF0A5" w:rsidR="00E82983" w:rsidRPr="00581C17" w:rsidRDefault="00581C17" w:rsidP="00AC7A27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Informations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relatives à 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l’entité 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>destinataire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du transfert de propriété ou de la licence</w:t>
      </w:r>
      <w:r w:rsidR="00E8298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exclusive : 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raison sociale, statut juridique et référence de dépôt,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site internet,</w:t>
      </w:r>
      <w:r w:rsidR="00E8298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>la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liste</w:t>
      </w:r>
      <w:r w:rsidR="008A287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des actionnaires</w:t>
      </w:r>
      <w:r w:rsidR="008A287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avec les pourcentages détenus et la nationalité des personnes physiques et/ou le pays des entités juridiques</w:t>
      </w:r>
      <w:r w:rsidR="00487E6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>l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>e cas échéant, l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>’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engagement 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du destinataire 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à satisfaire</w:t>
      </w:r>
      <w:r w:rsidR="00487E6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à son tour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aux présentes clauses</w:t>
      </w:r>
      <w:r w:rsidR="00487E6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, </w:t>
      </w:r>
    </w:p>
    <w:p w14:paraId="536A189F" w14:textId="2DBDC505" w:rsidR="00685632" w:rsidRPr="00581C17" w:rsidRDefault="00581C17" w:rsidP="00AC7A27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>
        <w:rPr>
          <w:rFonts w:ascii="Calibri" w:hAnsi="Calibri" w:cs="Times New Roman"/>
          <w:color w:val="17365D" w:themeColor="text2" w:themeShade="BF"/>
          <w:spacing w:val="-2"/>
        </w:rPr>
        <w:t>U</w:t>
      </w:r>
      <w:r w:rsidR="00E82983" w:rsidRPr="00581C17">
        <w:rPr>
          <w:rFonts w:ascii="Calibri" w:hAnsi="Calibri" w:cs="Times New Roman"/>
          <w:color w:val="17365D" w:themeColor="text2" w:themeShade="BF"/>
          <w:spacing w:val="-2"/>
        </w:rPr>
        <w:t>n point de contact</w:t>
      </w:r>
      <w:r w:rsidR="00BF4601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4128BE" w:rsidRPr="00581C17">
        <w:rPr>
          <w:rFonts w:ascii="Calibri" w:hAnsi="Calibri" w:cs="Times New Roman"/>
          <w:color w:val="17365D" w:themeColor="text2" w:themeShade="BF"/>
          <w:spacing w:val="-2"/>
        </w:rPr>
        <w:t>chez le</w:t>
      </w:r>
      <w:r w:rsidR="00BF4601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Bénéficiaire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souhaitant réaliser le transfert ou la concession de licence</w:t>
      </w:r>
      <w:r w:rsidR="00E82983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</w:p>
    <w:p w14:paraId="283F7026" w14:textId="77777777" w:rsidR="00685632" w:rsidRPr="00581C17" w:rsidRDefault="00685632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</w:p>
    <w:p w14:paraId="24BE2C6F" w14:textId="2616749A" w:rsidR="00685632" w:rsidRPr="00581C17" w:rsidRDefault="00C946C5" w:rsidP="00AC7A27">
      <w:pPr>
        <w:spacing w:after="0" w:line="240" w:lineRule="auto"/>
        <w:jc w:val="both"/>
        <w:rPr>
          <w:rFonts w:ascii="Calibri" w:hAnsi="Calibri" w:cs="Times New Roman"/>
          <w:i/>
          <w:color w:val="17365D" w:themeColor="text2" w:themeShade="BF"/>
          <w:spacing w:val="-2"/>
        </w:rPr>
      </w:pPr>
      <w:r w:rsidRPr="00581C17">
        <w:rPr>
          <w:rFonts w:ascii="Calibri" w:hAnsi="Calibri" w:cs="Times New Roman"/>
          <w:color w:val="17365D" w:themeColor="text2" w:themeShade="BF"/>
          <w:spacing w:val="-2"/>
        </w:rPr>
        <w:t>7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  <w:r w:rsidR="00C01E5D" w:rsidRPr="00581C17">
        <w:rPr>
          <w:rFonts w:ascii="Calibri" w:hAnsi="Calibri" w:cs="Times New Roman"/>
          <w:color w:val="17365D" w:themeColor="text2" w:themeShade="BF"/>
          <w:spacing w:val="-2"/>
        </w:rPr>
        <w:t>4</w:t>
      </w:r>
      <w:r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>Les questions complémentaires sur la mise en œuvre</w:t>
      </w:r>
      <w:r w:rsidR="00F309AA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de ces clauses</w:t>
      </w:r>
      <w:r w:rsidR="0068563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</w:t>
      </w:r>
      <w:r w:rsidR="008936BC" w:rsidRPr="00581C17">
        <w:rPr>
          <w:rFonts w:ascii="Calibri" w:hAnsi="Calibri" w:cs="Times New Roman"/>
          <w:color w:val="17365D" w:themeColor="text2" w:themeShade="BF"/>
          <w:spacing w:val="-2"/>
        </w:rPr>
        <w:t>sont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à </w:t>
      </w:r>
      <w:r w:rsidR="008A2872" w:rsidRPr="00581C17">
        <w:rPr>
          <w:rFonts w:ascii="Calibri" w:hAnsi="Calibri" w:cs="Times New Roman"/>
          <w:color w:val="17365D" w:themeColor="text2" w:themeShade="BF"/>
          <w:spacing w:val="-2"/>
        </w:rPr>
        <w:t>transm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>ettre</w:t>
      </w:r>
      <w:r w:rsidR="008A287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à l’A</w:t>
      </w:r>
      <w:r w:rsidR="007450E3" w:rsidRPr="00581C17">
        <w:rPr>
          <w:rFonts w:ascii="Calibri" w:hAnsi="Calibri" w:cs="Times New Roman"/>
          <w:color w:val="17365D" w:themeColor="text2" w:themeShade="BF"/>
          <w:spacing w:val="-2"/>
        </w:rPr>
        <w:t>ID</w:t>
      </w:r>
      <w:r w:rsidR="008A287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(équipe ASTRID)</w:t>
      </w:r>
      <w:r w:rsidR="00E82983" w:rsidRPr="00581C17">
        <w:rPr>
          <w:rFonts w:ascii="Calibri" w:hAnsi="Calibri" w:cs="Times New Roman"/>
          <w:color w:val="17365D" w:themeColor="text2" w:themeShade="BF"/>
          <w:spacing w:val="-2"/>
        </w:rPr>
        <w:t>.</w:t>
      </w:r>
    </w:p>
    <w:p w14:paraId="2EBB74DE" w14:textId="77777777" w:rsidR="00FD1093" w:rsidRPr="00581C17" w:rsidRDefault="00AC4374">
      <w:pPr>
        <w:spacing w:before="240" w:after="240" w:line="240" w:lineRule="auto"/>
        <w:jc w:val="both"/>
        <w:rPr>
          <w:rFonts w:ascii="Calibri" w:hAnsi="Calibri" w:cs="Times New Roman"/>
          <w:i/>
          <w:color w:val="17365D" w:themeColor="text2" w:themeShade="BF"/>
        </w:rPr>
      </w:pPr>
      <w:r w:rsidRPr="00581C17">
        <w:rPr>
          <w:rFonts w:ascii="Calibri" w:hAnsi="Calibri" w:cs="Times New Roman"/>
          <w:i/>
          <w:color w:val="17365D" w:themeColor="text2" w:themeShade="BF"/>
        </w:rPr>
        <w:t xml:space="preserve">8 </w:t>
      </w:r>
      <w:r w:rsidR="00FD1093" w:rsidRPr="00581C17">
        <w:rPr>
          <w:rFonts w:ascii="Calibri" w:hAnsi="Calibri" w:cs="Times New Roman"/>
          <w:i/>
          <w:color w:val="17365D" w:themeColor="text2" w:themeShade="BF"/>
        </w:rPr>
        <w:t>–Compatibilité avec des textes ultérieurs</w:t>
      </w:r>
      <w:r w:rsidR="00581C17">
        <w:rPr>
          <w:rFonts w:ascii="Calibri" w:hAnsi="Calibri" w:cs="Times New Roman"/>
          <w:i/>
          <w:color w:val="17365D" w:themeColor="text2" w:themeShade="BF"/>
        </w:rPr>
        <w:t> </w:t>
      </w:r>
    </w:p>
    <w:p w14:paraId="687F3A9E" w14:textId="360BD702" w:rsidR="00FD1093" w:rsidRDefault="007171A4" w:rsidP="00AC7A27">
      <w:pPr>
        <w:spacing w:after="0" w:line="240" w:lineRule="auto"/>
        <w:jc w:val="both"/>
        <w:rPr>
          <w:rFonts w:ascii="Calibri" w:hAnsi="Calibri" w:cs="Times New Roman"/>
          <w:color w:val="17365D" w:themeColor="text2" w:themeShade="BF"/>
          <w:spacing w:val="-2"/>
        </w:rPr>
      </w:pPr>
      <w:r>
        <w:rPr>
          <w:rFonts w:ascii="Calibri" w:hAnsi="Calibri" w:cs="Times New Roman"/>
          <w:color w:val="17365D" w:themeColor="text2" w:themeShade="BF"/>
          <w:spacing w:val="-2"/>
        </w:rPr>
        <w:t>Sous réserve du droit des aides d’Etat, l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e </w:t>
      </w:r>
      <w:r w:rsidR="00403547" w:rsidRPr="00581C17">
        <w:rPr>
          <w:rFonts w:ascii="Calibri" w:hAnsi="Calibri" w:cs="Times New Roman"/>
          <w:color w:val="17365D" w:themeColor="text2" w:themeShade="BF"/>
          <w:spacing w:val="-2"/>
        </w:rPr>
        <w:t>B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>énéficiaire mettra tout en œuvre pour que d</w:t>
      </w:r>
      <w:r w:rsidR="008F1542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’éventuels 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>contrats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ou 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>accord</w:t>
      </w:r>
      <w:r w:rsidR="00AD76CD" w:rsidRPr="00581C17">
        <w:rPr>
          <w:rFonts w:ascii="Calibri" w:hAnsi="Calibri" w:cs="Times New Roman"/>
          <w:color w:val="17365D" w:themeColor="text2" w:themeShade="BF"/>
          <w:spacing w:val="-2"/>
        </w:rPr>
        <w:t>s</w:t>
      </w:r>
      <w:r w:rsidR="00FD1093" w:rsidRPr="00581C17">
        <w:rPr>
          <w:rFonts w:ascii="Calibri" w:hAnsi="Calibri" w:cs="Times New Roman"/>
          <w:color w:val="17365D" w:themeColor="text2" w:themeShade="BF"/>
          <w:spacing w:val="-2"/>
        </w:rPr>
        <w:t xml:space="preserve"> ultérieurs soient compatibles avec les présentes clauses. </w:t>
      </w:r>
    </w:p>
    <w:p w14:paraId="73F8B4A9" w14:textId="77777777" w:rsidR="000C782D" w:rsidRPr="00581C17" w:rsidRDefault="000C782D" w:rsidP="00AC7A27">
      <w:pPr>
        <w:spacing w:after="0" w:line="240" w:lineRule="auto"/>
        <w:jc w:val="both"/>
        <w:rPr>
          <w:rFonts w:ascii="Calibri" w:hAnsi="Calibri" w:cs="Times New Roman"/>
          <w:i/>
          <w:color w:val="17365D" w:themeColor="text2" w:themeShade="BF"/>
          <w:spacing w:val="-2"/>
        </w:rPr>
      </w:pPr>
    </w:p>
    <w:p w14:paraId="27379B80" w14:textId="77777777" w:rsidR="00451D36" w:rsidRPr="00581C17" w:rsidRDefault="000C782D" w:rsidP="00AC7A27">
      <w:pPr>
        <w:spacing w:after="0" w:line="240" w:lineRule="auto"/>
        <w:jc w:val="center"/>
        <w:rPr>
          <w:rFonts w:ascii="Calibri" w:hAnsi="Calibri" w:cs="Times New Roman"/>
          <w:i/>
          <w:color w:val="17365D" w:themeColor="text2" w:themeShade="BF"/>
          <w:spacing w:val="-2"/>
        </w:rPr>
      </w:pPr>
      <w:r>
        <w:rPr>
          <w:rFonts w:ascii="Calibri" w:hAnsi="Calibri" w:cs="Times New Roman"/>
          <w:i/>
          <w:color w:val="17365D" w:themeColor="text2" w:themeShade="BF"/>
          <w:spacing w:val="-2"/>
        </w:rPr>
        <w:t>----</w:t>
      </w:r>
      <w:r w:rsidR="00F309AA" w:rsidRPr="00581C17">
        <w:rPr>
          <w:rFonts w:ascii="Calibri" w:hAnsi="Calibri" w:cs="Times New Roman"/>
          <w:i/>
          <w:color w:val="17365D" w:themeColor="text2" w:themeShade="BF"/>
          <w:spacing w:val="-2"/>
        </w:rPr>
        <w:t>--------</w:t>
      </w:r>
    </w:p>
    <w:sectPr w:rsidR="00451D36" w:rsidRPr="00581C17" w:rsidSect="00AC7A27">
      <w:headerReference w:type="default" r:id="rId8"/>
      <w:footerReference w:type="default" r:id="rId9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9C0E5" w14:textId="77777777" w:rsidR="0045741A" w:rsidRDefault="0045741A" w:rsidP="0060213A">
      <w:pPr>
        <w:spacing w:after="0" w:line="240" w:lineRule="auto"/>
      </w:pPr>
      <w:r>
        <w:separator/>
      </w:r>
    </w:p>
  </w:endnote>
  <w:endnote w:type="continuationSeparator" w:id="0">
    <w:p w14:paraId="7DA0B040" w14:textId="77777777" w:rsidR="0045741A" w:rsidRDefault="0045741A" w:rsidP="0060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3915D" w14:textId="3FC06F0E" w:rsidR="0098091C" w:rsidRPr="00D43DC4" w:rsidRDefault="0098091C">
    <w:pPr>
      <w:pStyle w:val="Pieddepage"/>
      <w:jc w:val="right"/>
      <w:rPr>
        <w:sz w:val="20"/>
      </w:rPr>
    </w:pPr>
    <w:r w:rsidRPr="00D43DC4">
      <w:rPr>
        <w:sz w:val="20"/>
      </w:rPr>
      <w:t xml:space="preserve">page </w:t>
    </w:r>
    <w:sdt>
      <w:sdtPr>
        <w:rPr>
          <w:sz w:val="20"/>
        </w:rPr>
        <w:id w:val="-1376696438"/>
        <w:docPartObj>
          <w:docPartGallery w:val="Page Numbers (Bottom of Page)"/>
          <w:docPartUnique/>
        </w:docPartObj>
      </w:sdtPr>
      <w:sdtEndPr/>
      <w:sdtContent>
        <w:r w:rsidRPr="00D43DC4">
          <w:rPr>
            <w:sz w:val="20"/>
          </w:rPr>
          <w:fldChar w:fldCharType="begin"/>
        </w:r>
        <w:r w:rsidRPr="00D43DC4">
          <w:rPr>
            <w:sz w:val="20"/>
          </w:rPr>
          <w:instrText>PAGE   \* MERGEFORMAT</w:instrText>
        </w:r>
        <w:r w:rsidRPr="00D43DC4">
          <w:rPr>
            <w:sz w:val="20"/>
          </w:rPr>
          <w:fldChar w:fldCharType="separate"/>
        </w:r>
        <w:r w:rsidR="003C0461">
          <w:rPr>
            <w:noProof/>
            <w:sz w:val="20"/>
          </w:rPr>
          <w:t>2</w:t>
        </w:r>
        <w:r w:rsidRPr="00D43DC4">
          <w:rPr>
            <w:sz w:val="20"/>
          </w:rPr>
          <w:fldChar w:fldCharType="end"/>
        </w:r>
        <w:r>
          <w:rPr>
            <w:sz w:val="20"/>
          </w:rPr>
          <w:t>/</w:t>
        </w:r>
        <w:r w:rsidR="00581C17">
          <w:rPr>
            <w:sz w:val="20"/>
          </w:rPr>
          <w:t>3</w:t>
        </w:r>
      </w:sdtContent>
    </w:sdt>
  </w:p>
  <w:p w14:paraId="07AC7FB2" w14:textId="77777777" w:rsidR="0098091C" w:rsidRDefault="009809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7A2F1" w14:textId="77777777" w:rsidR="0045741A" w:rsidRDefault="0045741A" w:rsidP="0060213A">
      <w:pPr>
        <w:spacing w:after="0" w:line="240" w:lineRule="auto"/>
      </w:pPr>
      <w:r>
        <w:separator/>
      </w:r>
    </w:p>
  </w:footnote>
  <w:footnote w:type="continuationSeparator" w:id="0">
    <w:p w14:paraId="0586B1B1" w14:textId="77777777" w:rsidR="0045741A" w:rsidRDefault="0045741A" w:rsidP="0060213A">
      <w:pPr>
        <w:spacing w:after="0" w:line="240" w:lineRule="auto"/>
      </w:pPr>
      <w:r>
        <w:continuationSeparator/>
      </w:r>
    </w:p>
  </w:footnote>
  <w:footnote w:id="1">
    <w:p w14:paraId="0E2A756A" w14:textId="77777777" w:rsidR="0098091C" w:rsidRPr="00E93A94" w:rsidRDefault="0098091C">
      <w:pPr>
        <w:pStyle w:val="Notedebasdepage"/>
        <w:rPr>
          <w:color w:val="002060"/>
        </w:rPr>
      </w:pPr>
      <w:r w:rsidRPr="00E93A94">
        <w:rPr>
          <w:rStyle w:val="Appelnotedebasdep"/>
          <w:color w:val="002060"/>
        </w:rPr>
        <w:footnoteRef/>
      </w:r>
      <w:r w:rsidRPr="00E93A94">
        <w:rPr>
          <w:color w:val="002060"/>
        </w:rPr>
        <w:t xml:space="preserve"> Direction du ministère des armées</w:t>
      </w:r>
    </w:p>
  </w:footnote>
  <w:footnote w:id="2">
    <w:p w14:paraId="0DE712CA" w14:textId="77777777" w:rsidR="0098091C" w:rsidRDefault="0098091C">
      <w:pPr>
        <w:pStyle w:val="Notedebasdepage"/>
      </w:pPr>
      <w:r w:rsidRPr="00E93A94">
        <w:rPr>
          <w:rStyle w:val="Appelnotedebasdep"/>
          <w:color w:val="002060"/>
        </w:rPr>
        <w:footnoteRef/>
      </w:r>
      <w:r w:rsidRPr="00E93A94">
        <w:rPr>
          <w:color w:val="002060"/>
        </w:rPr>
        <w:t xml:space="preserve"> Service à compétence nationale rattaché à la DGA</w:t>
      </w:r>
    </w:p>
  </w:footnote>
  <w:footnote w:id="3">
    <w:p w14:paraId="7AC9A5F4" w14:textId="69A909F5" w:rsidR="00AD7903" w:rsidRDefault="00AD7903">
      <w:pPr>
        <w:pStyle w:val="Notedebasdepage"/>
      </w:pPr>
      <w:r w:rsidRPr="00E93A94">
        <w:rPr>
          <w:rStyle w:val="Appelnotedebasdep"/>
          <w:color w:val="002060"/>
        </w:rPr>
        <w:footnoteRef/>
      </w:r>
      <w:r w:rsidRPr="00E93A94">
        <w:rPr>
          <w:color w:val="002060"/>
        </w:rPr>
        <w:t xml:space="preserve"> Voir le règlement financier de l’ANR.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8ED9E" w14:textId="57C88511" w:rsidR="0098091C" w:rsidRPr="00AC7A27" w:rsidRDefault="0098091C" w:rsidP="002B1DE8">
    <w:pPr>
      <w:pStyle w:val="En-tte"/>
      <w:tabs>
        <w:tab w:val="left" w:pos="5954"/>
      </w:tabs>
      <w:jc w:val="right"/>
      <w:rPr>
        <w:sz w:val="20"/>
      </w:rPr>
    </w:pPr>
    <w:r w:rsidRPr="00AC7A27">
      <w:rPr>
        <w:sz w:val="20"/>
      </w:rPr>
      <w:t>Validité :</w:t>
    </w:r>
    <w:r w:rsidR="00581C17">
      <w:rPr>
        <w:sz w:val="20"/>
      </w:rPr>
      <w:t xml:space="preserve"> </w:t>
    </w:r>
    <w:r w:rsidR="00581C17" w:rsidRPr="002B1DE8">
      <w:rPr>
        <w:sz w:val="20"/>
      </w:rPr>
      <w:t>p</w:t>
    </w:r>
    <w:r w:rsidRPr="002B1DE8">
      <w:rPr>
        <w:sz w:val="20"/>
      </w:rPr>
      <w:t xml:space="preserve">rojets financés </w:t>
    </w:r>
    <w:r w:rsidR="00581C17" w:rsidRPr="002B1DE8">
      <w:rPr>
        <w:sz w:val="20"/>
      </w:rPr>
      <w:t xml:space="preserve">ANR/ASTRID </w:t>
    </w:r>
    <w:r w:rsidR="00492980">
      <w:rPr>
        <w:sz w:val="20"/>
      </w:rPr>
      <w:t>édition 202</w:t>
    </w:r>
    <w:r w:rsidR="005970D5">
      <w:rPr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D5A6E"/>
    <w:multiLevelType w:val="hybridMultilevel"/>
    <w:tmpl w:val="DC2E777A"/>
    <w:lvl w:ilvl="0" w:tplc="12BC0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2650A"/>
    <w:multiLevelType w:val="hybridMultilevel"/>
    <w:tmpl w:val="9CD290AA"/>
    <w:lvl w:ilvl="0" w:tplc="F5D231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3A"/>
    <w:rsid w:val="00000A74"/>
    <w:rsid w:val="00001357"/>
    <w:rsid w:val="00006C38"/>
    <w:rsid w:val="00014667"/>
    <w:rsid w:val="00015594"/>
    <w:rsid w:val="0001745B"/>
    <w:rsid w:val="00022921"/>
    <w:rsid w:val="00024819"/>
    <w:rsid w:val="00031952"/>
    <w:rsid w:val="000333A9"/>
    <w:rsid w:val="00036529"/>
    <w:rsid w:val="000378A1"/>
    <w:rsid w:val="00051DBB"/>
    <w:rsid w:val="000609E8"/>
    <w:rsid w:val="0006282A"/>
    <w:rsid w:val="00063607"/>
    <w:rsid w:val="000666EC"/>
    <w:rsid w:val="00073470"/>
    <w:rsid w:val="0009684B"/>
    <w:rsid w:val="00097AB9"/>
    <w:rsid w:val="000A3940"/>
    <w:rsid w:val="000A4A06"/>
    <w:rsid w:val="000B0124"/>
    <w:rsid w:val="000C1024"/>
    <w:rsid w:val="000C38B0"/>
    <w:rsid w:val="000C3D7F"/>
    <w:rsid w:val="000C6D5A"/>
    <w:rsid w:val="000C782D"/>
    <w:rsid w:val="000D6967"/>
    <w:rsid w:val="000E2A0B"/>
    <w:rsid w:val="000E406E"/>
    <w:rsid w:val="000E4CD8"/>
    <w:rsid w:val="000F34C6"/>
    <w:rsid w:val="000F5CEF"/>
    <w:rsid w:val="000F65D2"/>
    <w:rsid w:val="0010778D"/>
    <w:rsid w:val="001148F1"/>
    <w:rsid w:val="00130EE2"/>
    <w:rsid w:val="00131A76"/>
    <w:rsid w:val="00132BAC"/>
    <w:rsid w:val="00136B04"/>
    <w:rsid w:val="00142017"/>
    <w:rsid w:val="001465BC"/>
    <w:rsid w:val="00160F13"/>
    <w:rsid w:val="001637F3"/>
    <w:rsid w:val="0016546F"/>
    <w:rsid w:val="00165C50"/>
    <w:rsid w:val="001665D5"/>
    <w:rsid w:val="00166C38"/>
    <w:rsid w:val="00171802"/>
    <w:rsid w:val="00172174"/>
    <w:rsid w:val="001721D7"/>
    <w:rsid w:val="001732E5"/>
    <w:rsid w:val="00176519"/>
    <w:rsid w:val="00191776"/>
    <w:rsid w:val="00191F0E"/>
    <w:rsid w:val="001969C9"/>
    <w:rsid w:val="00197732"/>
    <w:rsid w:val="001A101B"/>
    <w:rsid w:val="001B0759"/>
    <w:rsid w:val="001B1D75"/>
    <w:rsid w:val="001B560D"/>
    <w:rsid w:val="001C1060"/>
    <w:rsid w:val="001C1FD1"/>
    <w:rsid w:val="001D0642"/>
    <w:rsid w:val="001E0944"/>
    <w:rsid w:val="001F1614"/>
    <w:rsid w:val="001F3B2D"/>
    <w:rsid w:val="00205825"/>
    <w:rsid w:val="00216CD2"/>
    <w:rsid w:val="002207EC"/>
    <w:rsid w:val="0023010D"/>
    <w:rsid w:val="0023464C"/>
    <w:rsid w:val="00240E32"/>
    <w:rsid w:val="00250A24"/>
    <w:rsid w:val="00251086"/>
    <w:rsid w:val="00254A23"/>
    <w:rsid w:val="002560CE"/>
    <w:rsid w:val="00256178"/>
    <w:rsid w:val="0025700B"/>
    <w:rsid w:val="002572D5"/>
    <w:rsid w:val="0026279D"/>
    <w:rsid w:val="0026403C"/>
    <w:rsid w:val="002642A0"/>
    <w:rsid w:val="0027551D"/>
    <w:rsid w:val="00281D47"/>
    <w:rsid w:val="002835FC"/>
    <w:rsid w:val="00287699"/>
    <w:rsid w:val="00290C5A"/>
    <w:rsid w:val="002A02B4"/>
    <w:rsid w:val="002A1CF3"/>
    <w:rsid w:val="002A668C"/>
    <w:rsid w:val="002B1DE8"/>
    <w:rsid w:val="002B3AF8"/>
    <w:rsid w:val="002B4A8A"/>
    <w:rsid w:val="002B63F2"/>
    <w:rsid w:val="002B6AF3"/>
    <w:rsid w:val="002C1626"/>
    <w:rsid w:val="002D359B"/>
    <w:rsid w:val="002E2023"/>
    <w:rsid w:val="003213E1"/>
    <w:rsid w:val="0032686E"/>
    <w:rsid w:val="00327732"/>
    <w:rsid w:val="00330E56"/>
    <w:rsid w:val="00334068"/>
    <w:rsid w:val="0033577E"/>
    <w:rsid w:val="00342FBA"/>
    <w:rsid w:val="00343521"/>
    <w:rsid w:val="00346843"/>
    <w:rsid w:val="003520DD"/>
    <w:rsid w:val="00362D39"/>
    <w:rsid w:val="00370C0A"/>
    <w:rsid w:val="00374E2F"/>
    <w:rsid w:val="00375F80"/>
    <w:rsid w:val="0037736F"/>
    <w:rsid w:val="0038025A"/>
    <w:rsid w:val="0038043C"/>
    <w:rsid w:val="00392E59"/>
    <w:rsid w:val="00393E30"/>
    <w:rsid w:val="00397DD5"/>
    <w:rsid w:val="00397E18"/>
    <w:rsid w:val="003A1D44"/>
    <w:rsid w:val="003A502E"/>
    <w:rsid w:val="003A6557"/>
    <w:rsid w:val="003B1AC1"/>
    <w:rsid w:val="003C0461"/>
    <w:rsid w:val="003C2A64"/>
    <w:rsid w:val="003C42A8"/>
    <w:rsid w:val="003D4285"/>
    <w:rsid w:val="003E1E6B"/>
    <w:rsid w:val="003E44DB"/>
    <w:rsid w:val="003F3C5E"/>
    <w:rsid w:val="003F4462"/>
    <w:rsid w:val="003F6114"/>
    <w:rsid w:val="003F62EE"/>
    <w:rsid w:val="003F6C51"/>
    <w:rsid w:val="00403547"/>
    <w:rsid w:val="00406FB4"/>
    <w:rsid w:val="004128BE"/>
    <w:rsid w:val="00413995"/>
    <w:rsid w:val="004218E7"/>
    <w:rsid w:val="00427AFF"/>
    <w:rsid w:val="004354C7"/>
    <w:rsid w:val="00437F67"/>
    <w:rsid w:val="00442327"/>
    <w:rsid w:val="0044350D"/>
    <w:rsid w:val="00450322"/>
    <w:rsid w:val="00451D36"/>
    <w:rsid w:val="004546D3"/>
    <w:rsid w:val="0045480E"/>
    <w:rsid w:val="0045741A"/>
    <w:rsid w:val="00462049"/>
    <w:rsid w:val="004633FE"/>
    <w:rsid w:val="00464D8B"/>
    <w:rsid w:val="00480E52"/>
    <w:rsid w:val="00487C72"/>
    <w:rsid w:val="00487E6D"/>
    <w:rsid w:val="004920A1"/>
    <w:rsid w:val="00492980"/>
    <w:rsid w:val="004A0505"/>
    <w:rsid w:val="004B0A00"/>
    <w:rsid w:val="004B57F3"/>
    <w:rsid w:val="004C7600"/>
    <w:rsid w:val="004D47E6"/>
    <w:rsid w:val="004E4E7D"/>
    <w:rsid w:val="004E4FEB"/>
    <w:rsid w:val="004F035E"/>
    <w:rsid w:val="004F0AE0"/>
    <w:rsid w:val="004F1F19"/>
    <w:rsid w:val="004F207A"/>
    <w:rsid w:val="00502950"/>
    <w:rsid w:val="0050472F"/>
    <w:rsid w:val="00527CAE"/>
    <w:rsid w:val="00537D3B"/>
    <w:rsid w:val="00540674"/>
    <w:rsid w:val="00547655"/>
    <w:rsid w:val="00564B78"/>
    <w:rsid w:val="0056564D"/>
    <w:rsid w:val="005745EE"/>
    <w:rsid w:val="00575322"/>
    <w:rsid w:val="00577411"/>
    <w:rsid w:val="00581C17"/>
    <w:rsid w:val="005820DB"/>
    <w:rsid w:val="00585AF4"/>
    <w:rsid w:val="00586F36"/>
    <w:rsid w:val="00590734"/>
    <w:rsid w:val="0059709F"/>
    <w:rsid w:val="005970D5"/>
    <w:rsid w:val="005A2849"/>
    <w:rsid w:val="005B1DF1"/>
    <w:rsid w:val="005B4523"/>
    <w:rsid w:val="005B7A11"/>
    <w:rsid w:val="005C10F6"/>
    <w:rsid w:val="005D05CD"/>
    <w:rsid w:val="005D271C"/>
    <w:rsid w:val="005D735B"/>
    <w:rsid w:val="005E1B67"/>
    <w:rsid w:val="005E37FC"/>
    <w:rsid w:val="005E4AA9"/>
    <w:rsid w:val="005E5DAA"/>
    <w:rsid w:val="005F2AA7"/>
    <w:rsid w:val="005F340E"/>
    <w:rsid w:val="005F3EDF"/>
    <w:rsid w:val="005F4AE4"/>
    <w:rsid w:val="006014A3"/>
    <w:rsid w:val="0060213A"/>
    <w:rsid w:val="006076EE"/>
    <w:rsid w:val="00607CE4"/>
    <w:rsid w:val="00611585"/>
    <w:rsid w:val="006122FD"/>
    <w:rsid w:val="006155EB"/>
    <w:rsid w:val="0061620B"/>
    <w:rsid w:val="00617C5F"/>
    <w:rsid w:val="00630BE5"/>
    <w:rsid w:val="00633B70"/>
    <w:rsid w:val="00635246"/>
    <w:rsid w:val="006428D4"/>
    <w:rsid w:val="00651576"/>
    <w:rsid w:val="00657239"/>
    <w:rsid w:val="00657A1D"/>
    <w:rsid w:val="006623E7"/>
    <w:rsid w:val="00666185"/>
    <w:rsid w:val="00670CAD"/>
    <w:rsid w:val="006738A4"/>
    <w:rsid w:val="00680C3F"/>
    <w:rsid w:val="00681F49"/>
    <w:rsid w:val="006827AD"/>
    <w:rsid w:val="00684259"/>
    <w:rsid w:val="00685632"/>
    <w:rsid w:val="00687805"/>
    <w:rsid w:val="006A07EE"/>
    <w:rsid w:val="006B04F1"/>
    <w:rsid w:val="006C5A78"/>
    <w:rsid w:val="006C7C18"/>
    <w:rsid w:val="006D5DA6"/>
    <w:rsid w:val="006D6F65"/>
    <w:rsid w:val="006E646F"/>
    <w:rsid w:val="006E679B"/>
    <w:rsid w:val="006F0A21"/>
    <w:rsid w:val="0070089B"/>
    <w:rsid w:val="0070693D"/>
    <w:rsid w:val="007152BB"/>
    <w:rsid w:val="007171A4"/>
    <w:rsid w:val="00720FD6"/>
    <w:rsid w:val="00733A37"/>
    <w:rsid w:val="00734DD5"/>
    <w:rsid w:val="0073510C"/>
    <w:rsid w:val="007450E3"/>
    <w:rsid w:val="0074590E"/>
    <w:rsid w:val="007467D2"/>
    <w:rsid w:val="0075224A"/>
    <w:rsid w:val="00757BA5"/>
    <w:rsid w:val="00763D1F"/>
    <w:rsid w:val="00765740"/>
    <w:rsid w:val="00767089"/>
    <w:rsid w:val="00770A37"/>
    <w:rsid w:val="00771467"/>
    <w:rsid w:val="00775DD1"/>
    <w:rsid w:val="00776046"/>
    <w:rsid w:val="00790602"/>
    <w:rsid w:val="0079483D"/>
    <w:rsid w:val="00796BA9"/>
    <w:rsid w:val="007A32C9"/>
    <w:rsid w:val="007A3704"/>
    <w:rsid w:val="007A37CF"/>
    <w:rsid w:val="007A65F6"/>
    <w:rsid w:val="007B03B6"/>
    <w:rsid w:val="007C7E52"/>
    <w:rsid w:val="007D00DA"/>
    <w:rsid w:val="007D0BC4"/>
    <w:rsid w:val="007D0CB1"/>
    <w:rsid w:val="007D3944"/>
    <w:rsid w:val="007D57E4"/>
    <w:rsid w:val="007D7103"/>
    <w:rsid w:val="007D7684"/>
    <w:rsid w:val="007E0FAC"/>
    <w:rsid w:val="007E4BCB"/>
    <w:rsid w:val="007F2398"/>
    <w:rsid w:val="008033CF"/>
    <w:rsid w:val="00805B2C"/>
    <w:rsid w:val="0080627B"/>
    <w:rsid w:val="00810DCC"/>
    <w:rsid w:val="00811E98"/>
    <w:rsid w:val="00813959"/>
    <w:rsid w:val="00813BFC"/>
    <w:rsid w:val="008260BD"/>
    <w:rsid w:val="0082631D"/>
    <w:rsid w:val="00830A18"/>
    <w:rsid w:val="00834355"/>
    <w:rsid w:val="00844835"/>
    <w:rsid w:val="008453A2"/>
    <w:rsid w:val="008513DA"/>
    <w:rsid w:val="008545DF"/>
    <w:rsid w:val="008660EF"/>
    <w:rsid w:val="008729FB"/>
    <w:rsid w:val="00880DFB"/>
    <w:rsid w:val="00893293"/>
    <w:rsid w:val="008936BC"/>
    <w:rsid w:val="00895EAC"/>
    <w:rsid w:val="00897FA9"/>
    <w:rsid w:val="008A19B8"/>
    <w:rsid w:val="008A1BC5"/>
    <w:rsid w:val="008A1D84"/>
    <w:rsid w:val="008A2872"/>
    <w:rsid w:val="008B69FF"/>
    <w:rsid w:val="008D3E33"/>
    <w:rsid w:val="008D6A1C"/>
    <w:rsid w:val="008E25BA"/>
    <w:rsid w:val="008E5FA5"/>
    <w:rsid w:val="008F1542"/>
    <w:rsid w:val="00906EC2"/>
    <w:rsid w:val="0091556E"/>
    <w:rsid w:val="009254CA"/>
    <w:rsid w:val="00925ED5"/>
    <w:rsid w:val="00960751"/>
    <w:rsid w:val="00963276"/>
    <w:rsid w:val="00963CB4"/>
    <w:rsid w:val="00972007"/>
    <w:rsid w:val="00977D38"/>
    <w:rsid w:val="0098091C"/>
    <w:rsid w:val="00983858"/>
    <w:rsid w:val="00984B03"/>
    <w:rsid w:val="009933B4"/>
    <w:rsid w:val="0099472A"/>
    <w:rsid w:val="009A6662"/>
    <w:rsid w:val="009A66A1"/>
    <w:rsid w:val="009A6F37"/>
    <w:rsid w:val="009B178A"/>
    <w:rsid w:val="009B227A"/>
    <w:rsid w:val="009B304B"/>
    <w:rsid w:val="009B3E1B"/>
    <w:rsid w:val="009B5B68"/>
    <w:rsid w:val="009B5DBC"/>
    <w:rsid w:val="009B7EFF"/>
    <w:rsid w:val="009C0F81"/>
    <w:rsid w:val="009C513C"/>
    <w:rsid w:val="009D0806"/>
    <w:rsid w:val="009E006E"/>
    <w:rsid w:val="009E114F"/>
    <w:rsid w:val="009E618C"/>
    <w:rsid w:val="009F0F98"/>
    <w:rsid w:val="009F38B2"/>
    <w:rsid w:val="00A02EB9"/>
    <w:rsid w:val="00A03B2D"/>
    <w:rsid w:val="00A04DCC"/>
    <w:rsid w:val="00A06093"/>
    <w:rsid w:val="00A15D00"/>
    <w:rsid w:val="00A24DAF"/>
    <w:rsid w:val="00A2700D"/>
    <w:rsid w:val="00A3005A"/>
    <w:rsid w:val="00A3669F"/>
    <w:rsid w:val="00A36C3B"/>
    <w:rsid w:val="00A43FFD"/>
    <w:rsid w:val="00A57876"/>
    <w:rsid w:val="00A620A5"/>
    <w:rsid w:val="00A7147B"/>
    <w:rsid w:val="00A7540B"/>
    <w:rsid w:val="00A82A42"/>
    <w:rsid w:val="00A84AD0"/>
    <w:rsid w:val="00AA21DC"/>
    <w:rsid w:val="00AA259F"/>
    <w:rsid w:val="00AA3328"/>
    <w:rsid w:val="00AA706B"/>
    <w:rsid w:val="00AB39EE"/>
    <w:rsid w:val="00AC10D7"/>
    <w:rsid w:val="00AC17D9"/>
    <w:rsid w:val="00AC32FD"/>
    <w:rsid w:val="00AC4374"/>
    <w:rsid w:val="00AC4A05"/>
    <w:rsid w:val="00AC6842"/>
    <w:rsid w:val="00AC7A27"/>
    <w:rsid w:val="00AD0AD7"/>
    <w:rsid w:val="00AD2923"/>
    <w:rsid w:val="00AD76CD"/>
    <w:rsid w:val="00AD7903"/>
    <w:rsid w:val="00B0705D"/>
    <w:rsid w:val="00B10DB8"/>
    <w:rsid w:val="00B13F7B"/>
    <w:rsid w:val="00B217F8"/>
    <w:rsid w:val="00B23EF6"/>
    <w:rsid w:val="00B2421E"/>
    <w:rsid w:val="00B261F3"/>
    <w:rsid w:val="00B31F05"/>
    <w:rsid w:val="00B32337"/>
    <w:rsid w:val="00B3396B"/>
    <w:rsid w:val="00B366EE"/>
    <w:rsid w:val="00B370BB"/>
    <w:rsid w:val="00B40D7B"/>
    <w:rsid w:val="00B417CC"/>
    <w:rsid w:val="00B442CB"/>
    <w:rsid w:val="00B4439E"/>
    <w:rsid w:val="00B45A67"/>
    <w:rsid w:val="00B523EA"/>
    <w:rsid w:val="00B546AC"/>
    <w:rsid w:val="00B55D15"/>
    <w:rsid w:val="00B56E9B"/>
    <w:rsid w:val="00B56F74"/>
    <w:rsid w:val="00B65897"/>
    <w:rsid w:val="00B66A47"/>
    <w:rsid w:val="00B70492"/>
    <w:rsid w:val="00B73EB9"/>
    <w:rsid w:val="00B753B2"/>
    <w:rsid w:val="00B8061C"/>
    <w:rsid w:val="00B83E3B"/>
    <w:rsid w:val="00B86255"/>
    <w:rsid w:val="00B92D75"/>
    <w:rsid w:val="00B971DE"/>
    <w:rsid w:val="00BA01C2"/>
    <w:rsid w:val="00BA1F44"/>
    <w:rsid w:val="00BA796E"/>
    <w:rsid w:val="00BA7DEE"/>
    <w:rsid w:val="00BC0FCD"/>
    <w:rsid w:val="00BC44AB"/>
    <w:rsid w:val="00BC6D2C"/>
    <w:rsid w:val="00BC75AF"/>
    <w:rsid w:val="00BD2804"/>
    <w:rsid w:val="00BD3BBD"/>
    <w:rsid w:val="00BD5BD8"/>
    <w:rsid w:val="00BD75FE"/>
    <w:rsid w:val="00BD7F9E"/>
    <w:rsid w:val="00BE42CB"/>
    <w:rsid w:val="00BE59FC"/>
    <w:rsid w:val="00BF4601"/>
    <w:rsid w:val="00BF6F2E"/>
    <w:rsid w:val="00C01E5D"/>
    <w:rsid w:val="00C02B82"/>
    <w:rsid w:val="00C0564A"/>
    <w:rsid w:val="00C102D0"/>
    <w:rsid w:val="00C11C3E"/>
    <w:rsid w:val="00C2175D"/>
    <w:rsid w:val="00C267A7"/>
    <w:rsid w:val="00C33ED5"/>
    <w:rsid w:val="00C36C65"/>
    <w:rsid w:val="00C404CC"/>
    <w:rsid w:val="00C408A3"/>
    <w:rsid w:val="00C41386"/>
    <w:rsid w:val="00C475D7"/>
    <w:rsid w:val="00C63571"/>
    <w:rsid w:val="00C72442"/>
    <w:rsid w:val="00C73F41"/>
    <w:rsid w:val="00C76F69"/>
    <w:rsid w:val="00C82D09"/>
    <w:rsid w:val="00C8365A"/>
    <w:rsid w:val="00C946C5"/>
    <w:rsid w:val="00CB362E"/>
    <w:rsid w:val="00CB3ADD"/>
    <w:rsid w:val="00CB6291"/>
    <w:rsid w:val="00CC5D9F"/>
    <w:rsid w:val="00CC7299"/>
    <w:rsid w:val="00CD3180"/>
    <w:rsid w:val="00CD31E4"/>
    <w:rsid w:val="00CE7238"/>
    <w:rsid w:val="00CF0351"/>
    <w:rsid w:val="00CF2F13"/>
    <w:rsid w:val="00D005DA"/>
    <w:rsid w:val="00D0389A"/>
    <w:rsid w:val="00D065D3"/>
    <w:rsid w:val="00D1043C"/>
    <w:rsid w:val="00D13EA3"/>
    <w:rsid w:val="00D15D41"/>
    <w:rsid w:val="00D31A2E"/>
    <w:rsid w:val="00D43DC4"/>
    <w:rsid w:val="00D44920"/>
    <w:rsid w:val="00D459F5"/>
    <w:rsid w:val="00D56722"/>
    <w:rsid w:val="00D57C06"/>
    <w:rsid w:val="00D60E33"/>
    <w:rsid w:val="00D63805"/>
    <w:rsid w:val="00D66253"/>
    <w:rsid w:val="00D749A1"/>
    <w:rsid w:val="00D7662D"/>
    <w:rsid w:val="00D864D3"/>
    <w:rsid w:val="00D87B08"/>
    <w:rsid w:val="00DA1400"/>
    <w:rsid w:val="00DA7C84"/>
    <w:rsid w:val="00DC0BFA"/>
    <w:rsid w:val="00DC248D"/>
    <w:rsid w:val="00DC3C5D"/>
    <w:rsid w:val="00DC5451"/>
    <w:rsid w:val="00DD5F84"/>
    <w:rsid w:val="00DE3F80"/>
    <w:rsid w:val="00DE69E4"/>
    <w:rsid w:val="00DF3334"/>
    <w:rsid w:val="00E05CAA"/>
    <w:rsid w:val="00E05CEE"/>
    <w:rsid w:val="00E145B8"/>
    <w:rsid w:val="00E16074"/>
    <w:rsid w:val="00E17CC1"/>
    <w:rsid w:val="00E221C7"/>
    <w:rsid w:val="00E22275"/>
    <w:rsid w:val="00E32A16"/>
    <w:rsid w:val="00E368EA"/>
    <w:rsid w:val="00E412DB"/>
    <w:rsid w:val="00E41E5C"/>
    <w:rsid w:val="00E7073A"/>
    <w:rsid w:val="00E76352"/>
    <w:rsid w:val="00E76BA4"/>
    <w:rsid w:val="00E82983"/>
    <w:rsid w:val="00E83531"/>
    <w:rsid w:val="00E842D8"/>
    <w:rsid w:val="00E8717F"/>
    <w:rsid w:val="00E91223"/>
    <w:rsid w:val="00E93543"/>
    <w:rsid w:val="00E93A94"/>
    <w:rsid w:val="00E93D47"/>
    <w:rsid w:val="00EA1935"/>
    <w:rsid w:val="00EB3C99"/>
    <w:rsid w:val="00EB4CD5"/>
    <w:rsid w:val="00EC3778"/>
    <w:rsid w:val="00EC4CF9"/>
    <w:rsid w:val="00ED2813"/>
    <w:rsid w:val="00ED4C89"/>
    <w:rsid w:val="00ED7ADE"/>
    <w:rsid w:val="00EE0AC1"/>
    <w:rsid w:val="00EE775C"/>
    <w:rsid w:val="00F06B47"/>
    <w:rsid w:val="00F07624"/>
    <w:rsid w:val="00F106FF"/>
    <w:rsid w:val="00F15711"/>
    <w:rsid w:val="00F21CA8"/>
    <w:rsid w:val="00F266BB"/>
    <w:rsid w:val="00F309AA"/>
    <w:rsid w:val="00F35535"/>
    <w:rsid w:val="00F460A0"/>
    <w:rsid w:val="00F5483B"/>
    <w:rsid w:val="00F641D2"/>
    <w:rsid w:val="00F659D5"/>
    <w:rsid w:val="00F76251"/>
    <w:rsid w:val="00F80797"/>
    <w:rsid w:val="00F8552C"/>
    <w:rsid w:val="00F9116F"/>
    <w:rsid w:val="00FB72FC"/>
    <w:rsid w:val="00FC29B4"/>
    <w:rsid w:val="00FC2BD9"/>
    <w:rsid w:val="00FC70A1"/>
    <w:rsid w:val="00FD1093"/>
    <w:rsid w:val="00FD142C"/>
    <w:rsid w:val="00FD56F5"/>
    <w:rsid w:val="00FE0B8F"/>
    <w:rsid w:val="00FE5D9F"/>
    <w:rsid w:val="00FE79F8"/>
    <w:rsid w:val="00FF3017"/>
    <w:rsid w:val="00FF4361"/>
    <w:rsid w:val="00FF44C4"/>
    <w:rsid w:val="00FF6A01"/>
    <w:rsid w:val="00FF6D7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A8033E"/>
  <w15:docId w15:val="{F54F5DEE-C5FC-4CF7-95F7-C51A8BDA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1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13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0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13A"/>
  </w:style>
  <w:style w:type="paragraph" w:styleId="Pieddepage">
    <w:name w:val="footer"/>
    <w:basedOn w:val="Normal"/>
    <w:link w:val="PieddepageCar"/>
    <w:uiPriority w:val="99"/>
    <w:unhideWhenUsed/>
    <w:rsid w:val="0060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13A"/>
  </w:style>
  <w:style w:type="table" w:styleId="Grilledutableau">
    <w:name w:val="Table Grid"/>
    <w:basedOn w:val="TableauNormal"/>
    <w:uiPriority w:val="59"/>
    <w:rsid w:val="00666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61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61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6185"/>
    <w:rPr>
      <w:vertAlign w:val="superscript"/>
    </w:rPr>
  </w:style>
  <w:style w:type="paragraph" w:styleId="Rvision">
    <w:name w:val="Revision"/>
    <w:hidden/>
    <w:uiPriority w:val="99"/>
    <w:semiHidden/>
    <w:rsid w:val="002B6AF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51D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1D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51D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0A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0A37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E11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3607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2642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9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AE1D-DF0E-4256-8293-5A711F0F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1541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Défense</Company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CHANTERAC Louis ICA</dc:creator>
  <cp:lastModifiedBy>LASEK Florence</cp:lastModifiedBy>
  <cp:revision>14</cp:revision>
  <cp:lastPrinted>2018-12-12T14:55:00Z</cp:lastPrinted>
  <dcterms:created xsi:type="dcterms:W3CDTF">2022-02-10T15:23:00Z</dcterms:created>
  <dcterms:modified xsi:type="dcterms:W3CDTF">2025-08-05T12:53:00Z</dcterms:modified>
</cp:coreProperties>
</file>